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Interner Freigabevermerk</w:t>
      </w:r>
    </w:p>
    <w:p>
      <w:pPr>
        <w:jc w:val="center"/>
      </w:pPr>
      <w:r>
        <w:rPr>
          <w:b/>
        </w:rPr>
        <w:t>Möbelwerk Havelberg GmbH – Abschlussprodukte</w:t>
      </w:r>
    </w:p>
    <w:tbl>
      <w:tblPr>
        <w:tblStyle w:val="TableGrid"/>
        <w:tblW w:type="auto" w:w="0"/>
        <w:jc w:val="center"/>
        <w:tblLook w:firstColumn="1" w:firstRow="1" w:lastColumn="0" w:lastRow="0" w:noHBand="0" w:noVBand="1" w:val="04A0"/>
      </w:tblPr>
      <w:tblGrid>
        <w:gridCol w:w="4872"/>
        <w:gridCol w:w="4872"/>
      </w:tblGrid>
      <w:tr>
        <w:tc>
          <w:tcPr>
            <w:tcW w:type="dxa" w:w="2835"/>
            <w:shd w:fill="D9EAF7"/>
          </w:tcPr>
          <w:p>
            <w:r>
              <w:rPr>
                <w:rFonts w:ascii="Times New Roman" w:hAnsi="Times New Roman"/>
                <w:b/>
                <w:sz w:val="20"/>
              </w:rPr>
              <w:t>Verfahrensangabe</w:t>
            </w:r>
          </w:p>
        </w:tc>
        <w:tc>
          <w:tcPr>
            <w:tcW w:type="dxa" w:w="6236"/>
            <w:shd w:fill="D9EAF7"/>
          </w:tcPr>
          <w:p>
            <w:r>
              <w:rPr>
                <w:rFonts w:ascii="Times New Roman" w:hAnsi="Times New Roman"/>
                <w:b/>
                <w:sz w:val="20"/>
              </w:rPr>
              <w:t>Wert</w:t>
            </w:r>
          </w:p>
        </w:tc>
      </w:tr>
      <w:tr>
        <w:tc>
          <w:tcPr>
            <w:tcW w:type="dxa" w:w="2835"/>
            <w:vAlign w:val="top"/>
          </w:tcPr>
          <w:p>
            <w:r>
              <w:rPr>
                <w:rFonts w:ascii="Times New Roman" w:hAnsi="Times New Roman"/>
                <w:sz w:val="18"/>
              </w:rPr>
              <w:t>Insolvenzgericht</w:t>
            </w:r>
          </w:p>
        </w:tc>
        <w:tc>
          <w:tcPr>
            <w:tcW w:type="dxa" w:w="6236"/>
            <w:vAlign w:val="top"/>
          </w:tcPr>
          <w:p>
            <w:r>
              <w:rPr>
                <w:rFonts w:ascii="Times New Roman" w:hAnsi="Times New Roman"/>
                <w:sz w:val="18"/>
              </w:rPr>
              <w:t>Amtsgericht Stendal</w:t>
            </w:r>
          </w:p>
        </w:tc>
      </w:tr>
      <w:tr>
        <w:tc>
          <w:tcPr>
            <w:tcW w:type="dxa" w:w="2835"/>
            <w:vAlign w:val="top"/>
          </w:tcPr>
          <w:p>
            <w:r>
              <w:rPr>
                <w:rFonts w:ascii="Times New Roman" w:hAnsi="Times New Roman"/>
                <w:sz w:val="18"/>
              </w:rPr>
              <w:t>Aktenzeichen</w:t>
            </w:r>
          </w:p>
        </w:tc>
        <w:tc>
          <w:tcPr>
            <w:tcW w:type="dxa" w:w="6236"/>
            <w:vAlign w:val="top"/>
          </w:tcPr>
          <w:p>
            <w:r>
              <w:rPr>
                <w:rFonts w:ascii="Times New Roman" w:hAnsi="Times New Roman"/>
                <w:sz w:val="18"/>
              </w:rPr>
              <w:t>7 IN 41/26</w:t>
            </w:r>
          </w:p>
        </w:tc>
      </w:tr>
      <w:tr>
        <w:tc>
          <w:tcPr>
            <w:tcW w:type="dxa" w:w="2835"/>
            <w:vAlign w:val="top"/>
          </w:tcPr>
          <w:p>
            <w:r>
              <w:rPr>
                <w:rFonts w:ascii="Times New Roman" w:hAnsi="Times New Roman"/>
                <w:sz w:val="18"/>
              </w:rPr>
              <w:t>Schuldnerin</w:t>
            </w:r>
          </w:p>
        </w:tc>
        <w:tc>
          <w:tcPr>
            <w:tcW w:type="dxa" w:w="6236"/>
            <w:vAlign w:val="top"/>
          </w:tcPr>
          <w:p>
            <w:r>
              <w:rPr>
                <w:rFonts w:ascii="Times New Roman" w:hAnsi="Times New Roman"/>
                <w:sz w:val="18"/>
              </w:rPr>
              <w:t>Möbelwerk Havelberg GmbH</w:t>
            </w:r>
          </w:p>
        </w:tc>
      </w:tr>
      <w:tr>
        <w:tc>
          <w:tcPr>
            <w:tcW w:type="dxa" w:w="2835"/>
            <w:vAlign w:val="top"/>
          </w:tcPr>
          <w:p>
            <w:r>
              <w:rPr>
                <w:rFonts w:ascii="Times New Roman" w:hAnsi="Times New Roman"/>
                <w:sz w:val="18"/>
              </w:rPr>
              <w:t>Insolvenzverwaltung</w:t>
            </w:r>
          </w:p>
        </w:tc>
        <w:tc>
          <w:tcPr>
            <w:tcW w:type="dxa" w:w="6236"/>
            <w:vAlign w:val="top"/>
          </w:tcPr>
          <w:p>
            <w:r>
              <w:rPr>
                <w:rFonts w:ascii="Times New Roman" w:hAnsi="Times New Roman"/>
                <w:sz w:val="18"/>
              </w:rPr>
              <w:t>Dr. Nora Westphal</w:t>
            </w:r>
          </w:p>
        </w:tc>
      </w:tr>
      <w:tr>
        <w:tc>
          <w:tcPr>
            <w:tcW w:type="dxa" w:w="2835"/>
            <w:vAlign w:val="top"/>
          </w:tcPr>
          <w:p>
            <w:r>
              <w:rPr>
                <w:rFonts w:ascii="Times New Roman" w:hAnsi="Times New Roman"/>
                <w:sz w:val="18"/>
              </w:rPr>
              <w:t>Datum</w:t>
            </w:r>
          </w:p>
        </w:tc>
        <w:tc>
          <w:tcPr>
            <w:tcW w:type="dxa" w:w="6236"/>
            <w:vAlign w:val="top"/>
          </w:tcPr>
          <w:p>
            <w:r>
              <w:rPr>
                <w:rFonts w:ascii="Times New Roman" w:hAnsi="Times New Roman"/>
                <w:sz w:val="18"/>
              </w:rPr>
              <w:t>23. Januar 2027</w:t>
            </w:r>
          </w:p>
        </w:tc>
      </w:tr>
      <w:tr>
        <w:tc>
          <w:tcPr>
            <w:tcW w:type="dxa" w:w="2835"/>
            <w:vAlign w:val="top"/>
          </w:tcPr>
          <w:p>
            <w:r>
              <w:rPr>
                <w:rFonts w:ascii="Times New Roman" w:hAnsi="Times New Roman"/>
                <w:sz w:val="18"/>
              </w:rPr>
              <w:t>Gegenstand</w:t>
            </w:r>
          </w:p>
        </w:tc>
        <w:tc>
          <w:tcPr>
            <w:tcW w:type="dxa" w:w="6236"/>
            <w:vAlign w:val="top"/>
          </w:tcPr>
          <w:p>
            <w:r>
              <w:rPr>
                <w:rFonts w:ascii="Times New Roman" w:hAnsi="Times New Roman"/>
                <w:sz w:val="18"/>
              </w:rPr>
              <w:t>Einreichungsfreigabe</w:t>
            </w:r>
          </w:p>
        </w:tc>
      </w:tr>
    </w:tbl>
    <w:p/>
    <w:p>
      <w:pPr>
        <w:pStyle w:val="Heading1"/>
      </w:pPr>
      <w:r>
        <w:t>1. Führende Fassungen</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tcPr>
          <w:p>
            <w:r>
              <w:rPr>
                <w:rFonts w:ascii="Times New Roman" w:hAnsi="Times New Roman"/>
                <w:b/>
                <w:sz w:val="20"/>
              </w:rPr>
              <w:t>Produkt</w:t>
            </w:r>
          </w:p>
        </w:tc>
        <w:tc>
          <w:tcPr>
            <w:tcW w:type="dxa" w:w="3248"/>
            <w:shd w:fill="D9EAF7"/>
          </w:tcPr>
          <w:p>
            <w:r>
              <w:rPr>
                <w:rFonts w:ascii="Times New Roman" w:hAnsi="Times New Roman"/>
                <w:b/>
                <w:sz w:val="20"/>
              </w:rPr>
              <w:t>Stand</w:t>
            </w:r>
          </w:p>
        </w:tc>
        <w:tc>
          <w:tcPr>
            <w:tcW w:type="dxa" w:w="3248"/>
            <w:shd w:fill="D9EAF7"/>
          </w:tcPr>
          <w:p>
            <w:r>
              <w:rPr>
                <w:rFonts w:ascii="Times New Roman" w:hAnsi="Times New Roman"/>
                <w:b/>
                <w:sz w:val="20"/>
              </w:rPr>
              <w:t>Prüfergebnis</w:t>
            </w:r>
          </w:p>
        </w:tc>
      </w:tr>
      <w:tr>
        <w:tc>
          <w:tcPr>
            <w:tcW w:type="dxa" w:w="3248"/>
            <w:vAlign w:val="top"/>
          </w:tcPr>
          <w:p>
            <w:r>
              <w:rPr>
                <w:rFonts w:ascii="Times New Roman" w:hAnsi="Times New Roman"/>
                <w:sz w:val="18"/>
              </w:rPr>
              <w:t>Schlussbericht und Schlussrechnung</w:t>
            </w:r>
          </w:p>
        </w:tc>
        <w:tc>
          <w:tcPr>
            <w:tcW w:type="dxa" w:w="3248"/>
            <w:vAlign w:val="top"/>
          </w:tcPr>
          <w:p>
            <w:r>
              <w:rPr>
                <w:rFonts w:ascii="Times New Roman" w:hAnsi="Times New Roman"/>
                <w:sz w:val="18"/>
              </w:rPr>
              <w:t>20.01.2027</w:t>
            </w:r>
          </w:p>
        </w:tc>
        <w:tc>
          <w:tcPr>
            <w:tcW w:type="dxa" w:w="3248"/>
            <w:vAlign w:val="top"/>
          </w:tcPr>
          <w:p>
            <w:r>
              <w:rPr>
                <w:rFonts w:ascii="Times New Roman" w:hAnsi="Times New Roman"/>
                <w:sz w:val="18"/>
              </w:rPr>
              <w:t>freigegeben</w:t>
            </w:r>
          </w:p>
        </w:tc>
      </w:tr>
      <w:tr>
        <w:tc>
          <w:tcPr>
            <w:tcW w:type="dxa" w:w="3248"/>
            <w:vAlign w:val="top"/>
          </w:tcPr>
          <w:p>
            <w:r>
              <w:rPr>
                <w:rFonts w:ascii="Times New Roman" w:hAnsi="Times New Roman"/>
                <w:sz w:val="18"/>
              </w:rPr>
              <w:t>Schlussverzeichnis</w:t>
            </w:r>
          </w:p>
        </w:tc>
        <w:tc>
          <w:tcPr>
            <w:tcW w:type="dxa" w:w="3248"/>
            <w:vAlign w:val="top"/>
          </w:tcPr>
          <w:p>
            <w:r>
              <w:rPr>
                <w:rFonts w:ascii="Times New Roman" w:hAnsi="Times New Roman"/>
                <w:sz w:val="18"/>
              </w:rPr>
              <w:t>20.01.2027</w:t>
            </w:r>
          </w:p>
        </w:tc>
        <w:tc>
          <w:tcPr>
            <w:tcW w:type="dxa" w:w="3248"/>
            <w:vAlign w:val="top"/>
          </w:tcPr>
          <w:p>
            <w:r>
              <w:rPr>
                <w:rFonts w:ascii="Times New Roman" w:hAnsi="Times New Roman"/>
                <w:sz w:val="18"/>
              </w:rPr>
              <w:t>862.900,00 EUR Forderungen; 289.790,00 EUR Auszahlung</w:t>
            </w:r>
          </w:p>
        </w:tc>
      </w:tr>
      <w:tr>
        <w:tc>
          <w:tcPr>
            <w:tcW w:type="dxa" w:w="3248"/>
            <w:vAlign w:val="top"/>
          </w:tcPr>
          <w:p>
            <w:r>
              <w:rPr>
                <w:rFonts w:ascii="Times New Roman" w:hAnsi="Times New Roman"/>
                <w:sz w:val="18"/>
              </w:rPr>
              <w:t>Kontrollarbeitsmappe</w:t>
            </w:r>
          </w:p>
        </w:tc>
        <w:tc>
          <w:tcPr>
            <w:tcW w:type="dxa" w:w="3248"/>
            <w:vAlign w:val="top"/>
          </w:tcPr>
          <w:p>
            <w:r>
              <w:rPr>
                <w:rFonts w:ascii="Times New Roman" w:hAnsi="Times New Roman"/>
                <w:sz w:val="18"/>
              </w:rPr>
              <w:t>20.01.2027</w:t>
            </w:r>
          </w:p>
        </w:tc>
        <w:tc>
          <w:tcPr>
            <w:tcW w:type="dxa" w:w="3248"/>
            <w:vAlign w:val="top"/>
          </w:tcPr>
          <w:p>
            <w:r>
              <w:rPr>
                <w:rFonts w:ascii="Times New Roman" w:hAnsi="Times New Roman"/>
                <w:sz w:val="18"/>
              </w:rPr>
              <w:t>Kontendifferenz 0,00 EUR</w:t>
            </w:r>
          </w:p>
        </w:tc>
      </w:tr>
    </w:tbl>
    <w:p/>
    <w:p>
      <w:pPr>
        <w:pStyle w:val="Heading1"/>
      </w:pPr>
      <w:r>
        <w:t>2. Freigabe</w:t>
      </w:r>
    </w:p>
    <w:p>
      <w:pPr>
        <w:spacing w:after="120"/>
      </w:pPr>
      <w:r>
        <w:t>Dr. Nora Westphal gibt die Einreichung der bezeichneten Fassungen frei. Die Freigabe umfasst weder die Veröffentlichung gerichtlicher Bekanntmachungen noch den Zahlungslauf. Die Auszahlung bleibt bis zur gerichtlichen Zustimmung und einer erneuten namentlichen Freigabe gesperrt.</w:t>
      </w:r>
    </w:p>
    <w:sectPr w:rsidR="00FC693F" w:rsidRPr="0006063C" w:rsidSect="00034616">
      <w:pgSz w:w="12240" w:h="15840"/>
      <w:pgMar w:top="1191"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Interner Freigabevermerk</dc:title>
  <dc:subject>Insolvenzverwaltung</dc:subject>
  <dc:creator>Synthetische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