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Gerichtliche Verfügung zur Schlussverteilung</w:t>
      </w:r>
    </w:p>
    <w:p>
      <w:pPr>
        <w:jc w:val="center"/>
      </w:pPr>
      <w:r>
        <w:rPr>
          <w:b/>
        </w:rPr>
        <w:t>Synthetisches Aktenstück – AG Stendal 7 IN 41/26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Verfahrensangabe</w:t>
            </w:r>
          </w:p>
        </w:tc>
        <w:tc>
          <w:tcPr>
            <w:tcW w:type="dxa" w:w="62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Insolvenzgericht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Amtsgericht Stendal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Aktenzeichen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7 IN 41/26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Schuldnerin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Möbelwerk Havelberg GmbH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Insolvenzverwaltung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Dr. Nora Westphal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Datum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29. Januar 2027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Gegenstand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Zustimmung und Bestimmung des Schlusstermins</w:t>
            </w:r>
          </w:p>
        </w:tc>
      </w:tr>
    </w:tbl>
    <w:p/>
    <w:p>
      <w:pPr>
        <w:pStyle w:val="Heading1"/>
      </w:pPr>
      <w:r>
        <w:t>1. Zustimmung</w:t>
      </w:r>
    </w:p>
    <w:p>
      <w:pPr>
        <w:spacing w:after="120"/>
      </w:pPr>
      <w:r>
        <w:t>Nach Prüfung der eingereichten Schlussrechnung wird der Schlussverteilung gemäß § 196 Absatz 2 InsO zugestimmt. Der Verwalterin bleibt aufgegeben, Änderungen der Tabelle und fristgerechte Nachweise vor dem Zahlungslauf zu berücksichtigen.</w:t>
      </w:r>
    </w:p>
    <w:p>
      <w:pPr>
        <w:pStyle w:val="Heading1"/>
      </w:pPr>
      <w:r>
        <w:t>2. Schlusstermin</w:t>
      </w:r>
    </w:p>
    <w:p>
      <w:pPr>
        <w:spacing w:after="120"/>
      </w:pPr>
      <w:r>
        <w:t>Der Schlusstermin wird auf den 15. Februar 2027 bestimmt. Der Bericht, die Schlussrechnung und das Schlussverzeichnis werden entsprechend den gesetzlichen Vorgaben zugänglich gemacht. Die öffentliche Bekanntmachung erfolgt gesondert.</w:t>
      </w:r>
    </w:p>
    <w:p>
      <w:pPr>
        <w:pStyle w:val="Heading1"/>
      </w:pPr>
      <w:r>
        <w:t>3. Nachweis</w:t>
      </w:r>
    </w:p>
    <w:p>
      <w:pPr>
        <w:spacing w:after="120"/>
      </w:pPr>
      <w:r>
        <w:t>Nach dem Zahlungslauf sind die Auszahlungsdatei, die Bankbestätigung und die Erklärung über die vollständige Ausführung vorzulegen. Die Aufhebung des Verfahrens wird erst nach diesem Nachweis geprüft.</w:t>
      </w:r>
    </w:p>
    <w:sectPr w:rsidR="00FC693F" w:rsidRPr="0006063C" w:rsidSect="00034616"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Gerichtliche Verfügung zur Schlussverteilung</dc:title>
  <dc:subject>Insolvenzverwaltung</dc:subject>
  <dc:creator>Synthetische Testakte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