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Schlussbericht und Schlussrechnung</w:t>
      </w:r>
    </w:p>
    <w:p>
      <w:pPr>
        <w:jc w:val="center"/>
      </w:pPr>
      <w:r>
        <w:rPr>
          <w:b/>
        </w:rPr>
        <w:t>Nordlicht Handels GmbH – AG Kiel 10 IN 127/13</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Kiel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10 IN 127/13</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Nordlicht Handels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Jens-Peter Hartmann</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15. März 2024</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Abschlussbericht mit Schlussrechnung und Verteilungsvorschlag</w:t>
            </w:r>
          </w:p>
        </w:tc>
      </w:tr>
    </w:tbl>
    <w:p/>
    <w:p>
      <w:pPr>
        <w:pStyle w:val="Heading1"/>
      </w:pPr>
      <w:r>
        <w:t>1. Verfahrensgang</w:t>
      </w:r>
    </w:p>
    <w:p>
      <w:pPr>
        <w:spacing w:after="120"/>
      </w:pPr>
      <w:r>
        <w:t>Die Schuldnerin beantragte am 14. Januar 2013 die Eröffnung des Insolvenzverfahrens. Das Amtsgericht Kiel eröffnete das Verfahren am 1. Juni 2013 und bestellte Dr. Jens-Peter Hartmann zum Insolvenzverwalter. Nach einem bis zum 31. August 2013 geführten Räumungsverkauf wurde der Geschäftsbetrieb stillgelegt. Die anschließende Abwicklung umfasste Forderungseinzug, Anfechtungsvergleiche, einen Geschäftsführerhaftungsvergleich, die steuerliche Außenprüfung sowie die Schlussbearbeitung.</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Datum</w:t>
            </w:r>
          </w:p>
        </w:tc>
        <w:tc>
          <w:tcPr>
            <w:tcW w:type="dxa" w:w="3248"/>
            <w:shd w:fill="D9EAF7"/>
          </w:tcPr>
          <w:p>
            <w:r>
              <w:rPr>
                <w:rFonts w:ascii="Times New Roman" w:hAnsi="Times New Roman"/>
                <w:b/>
                <w:sz w:val="20"/>
              </w:rPr>
              <w:t>Ereignis</w:t>
            </w:r>
          </w:p>
        </w:tc>
        <w:tc>
          <w:tcPr>
            <w:tcW w:type="dxa" w:w="3248"/>
            <w:shd w:fill="D9EAF7"/>
          </w:tcPr>
          <w:p>
            <w:r>
              <w:rPr>
                <w:rFonts w:ascii="Times New Roman" w:hAnsi="Times New Roman"/>
                <w:b/>
                <w:sz w:val="20"/>
              </w:rPr>
              <w:t>Abschlussbedeutung</w:t>
            </w:r>
          </w:p>
        </w:tc>
      </w:tr>
      <w:tr>
        <w:tc>
          <w:tcPr>
            <w:tcW w:type="dxa" w:w="3248"/>
            <w:vAlign w:val="top"/>
          </w:tcPr>
          <w:p>
            <w:r>
              <w:rPr>
                <w:rFonts w:ascii="Times New Roman" w:hAnsi="Times New Roman"/>
                <w:sz w:val="18"/>
              </w:rPr>
              <w:t>01.06.2013</w:t>
            </w:r>
          </w:p>
        </w:tc>
        <w:tc>
          <w:tcPr>
            <w:tcW w:type="dxa" w:w="3248"/>
            <w:vAlign w:val="top"/>
          </w:tcPr>
          <w:p>
            <w:r>
              <w:rPr>
                <w:rFonts w:ascii="Times New Roman" w:hAnsi="Times New Roman"/>
                <w:sz w:val="18"/>
              </w:rPr>
              <w:t>Eröffnung und Bestellung</w:t>
            </w:r>
          </w:p>
        </w:tc>
        <w:tc>
          <w:tcPr>
            <w:tcW w:type="dxa" w:w="3248"/>
            <w:vAlign w:val="top"/>
          </w:tcPr>
          <w:p>
            <w:r>
              <w:rPr>
                <w:rFonts w:ascii="Times New Roman" w:hAnsi="Times New Roman"/>
                <w:sz w:val="18"/>
              </w:rPr>
              <w:t>Beginn der Schlussrechnungsperiode</w:t>
            </w:r>
          </w:p>
        </w:tc>
      </w:tr>
      <w:tr>
        <w:tc>
          <w:tcPr>
            <w:tcW w:type="dxa" w:w="3248"/>
            <w:vAlign w:val="top"/>
          </w:tcPr>
          <w:p>
            <w:r>
              <w:rPr>
                <w:rFonts w:ascii="Times New Roman" w:hAnsi="Times New Roman"/>
                <w:sz w:val="18"/>
              </w:rPr>
              <w:t>31.08.2013</w:t>
            </w:r>
          </w:p>
        </w:tc>
        <w:tc>
          <w:tcPr>
            <w:tcW w:type="dxa" w:w="3248"/>
            <w:vAlign w:val="top"/>
          </w:tcPr>
          <w:p>
            <w:r>
              <w:rPr>
                <w:rFonts w:ascii="Times New Roman" w:hAnsi="Times New Roman"/>
                <w:sz w:val="18"/>
              </w:rPr>
              <w:t>Betriebseinstellung</w:t>
            </w:r>
          </w:p>
        </w:tc>
        <w:tc>
          <w:tcPr>
            <w:tcW w:type="dxa" w:w="3248"/>
            <w:vAlign w:val="top"/>
          </w:tcPr>
          <w:p>
            <w:r>
              <w:rPr>
                <w:rFonts w:ascii="Times New Roman" w:hAnsi="Times New Roman"/>
                <w:sz w:val="18"/>
              </w:rPr>
              <w:t>Ende der Fortführung</w:t>
            </w:r>
          </w:p>
        </w:tc>
      </w:tr>
      <w:tr>
        <w:tc>
          <w:tcPr>
            <w:tcW w:type="dxa" w:w="3248"/>
            <w:vAlign w:val="top"/>
          </w:tcPr>
          <w:p>
            <w:r>
              <w:rPr>
                <w:rFonts w:ascii="Times New Roman" w:hAnsi="Times New Roman"/>
                <w:sz w:val="18"/>
              </w:rPr>
              <w:t>12.05.2015</w:t>
            </w:r>
          </w:p>
        </w:tc>
        <w:tc>
          <w:tcPr>
            <w:tcW w:type="dxa" w:w="3248"/>
            <w:vAlign w:val="top"/>
          </w:tcPr>
          <w:p>
            <w:r>
              <w:rPr>
                <w:rFonts w:ascii="Times New Roman" w:hAnsi="Times New Roman"/>
                <w:sz w:val="18"/>
              </w:rPr>
              <w:t>Vergleich Geschäftsführerhaftung</w:t>
            </w:r>
          </w:p>
        </w:tc>
        <w:tc>
          <w:tcPr>
            <w:tcW w:type="dxa" w:w="3248"/>
            <w:vAlign w:val="top"/>
          </w:tcPr>
          <w:p>
            <w:r>
              <w:rPr>
                <w:rFonts w:ascii="Times New Roman" w:hAnsi="Times New Roman"/>
                <w:sz w:val="18"/>
              </w:rPr>
              <w:t>60.000,00 EUR in Raten vollständig eingegangen</w:t>
            </w:r>
          </w:p>
        </w:tc>
      </w:tr>
      <w:tr>
        <w:tc>
          <w:tcPr>
            <w:tcW w:type="dxa" w:w="3248"/>
            <w:vAlign w:val="top"/>
          </w:tcPr>
          <w:p>
            <w:r>
              <w:rPr>
                <w:rFonts w:ascii="Times New Roman" w:hAnsi="Times New Roman"/>
                <w:sz w:val="18"/>
              </w:rPr>
              <w:t>28.06.2023</w:t>
            </w:r>
          </w:p>
        </w:tc>
        <w:tc>
          <w:tcPr>
            <w:tcW w:type="dxa" w:w="3248"/>
            <w:vAlign w:val="top"/>
          </w:tcPr>
          <w:p>
            <w:r>
              <w:rPr>
                <w:rFonts w:ascii="Times New Roman" w:hAnsi="Times New Roman"/>
                <w:sz w:val="18"/>
              </w:rPr>
              <w:t>Steuererstattung</w:t>
            </w:r>
          </w:p>
        </w:tc>
        <w:tc>
          <w:tcPr>
            <w:tcW w:type="dxa" w:w="3248"/>
            <w:vAlign w:val="top"/>
          </w:tcPr>
          <w:p>
            <w:r>
              <w:rPr>
                <w:rFonts w:ascii="Times New Roman" w:hAnsi="Times New Roman"/>
                <w:sz w:val="18"/>
              </w:rPr>
              <w:t>18.420,00 EUR als laufender Massezufluss verbucht</w:t>
            </w:r>
          </w:p>
        </w:tc>
      </w:tr>
      <w:tr>
        <w:tc>
          <w:tcPr>
            <w:tcW w:type="dxa" w:w="3248"/>
            <w:vAlign w:val="top"/>
          </w:tcPr>
          <w:p>
            <w:r>
              <w:rPr>
                <w:rFonts w:ascii="Times New Roman" w:hAnsi="Times New Roman"/>
                <w:sz w:val="18"/>
              </w:rPr>
              <w:t>15.03.2024</w:t>
            </w:r>
          </w:p>
        </w:tc>
        <w:tc>
          <w:tcPr>
            <w:tcW w:type="dxa" w:w="3248"/>
            <w:vAlign w:val="top"/>
          </w:tcPr>
          <w:p>
            <w:r>
              <w:rPr>
                <w:rFonts w:ascii="Times New Roman" w:hAnsi="Times New Roman"/>
                <w:sz w:val="18"/>
              </w:rPr>
              <w:t>Abschlussstichtag</w:t>
            </w:r>
          </w:p>
        </w:tc>
        <w:tc>
          <w:tcPr>
            <w:tcW w:type="dxa" w:w="3248"/>
            <w:vAlign w:val="top"/>
          </w:tcPr>
          <w:p>
            <w:r>
              <w:rPr>
                <w:rFonts w:ascii="Times New Roman" w:hAnsi="Times New Roman"/>
                <w:sz w:val="18"/>
              </w:rPr>
              <w:t>Konten und Tabelle abgestimmt</w:t>
            </w:r>
          </w:p>
        </w:tc>
      </w:tr>
    </w:tbl>
    <w:p/>
    <w:p>
      <w:pPr>
        <w:pStyle w:val="Heading1"/>
      </w:pPr>
      <w:r>
        <w:t>2. Sicherung, Betrieb und Buchführung</w:t>
      </w:r>
    </w:p>
    <w:p>
      <w:pPr>
        <w:spacing w:after="120"/>
      </w:pPr>
      <w:r>
        <w:t>Die bei Eröffnung vorhandenen Kassen- und Bankbestände wurden auf das Massekonto überführt. Die Buchführung wurde aus Bankauszügen, Kassenunterlagen, Debitorenlisten und Einzelbelegen rekonstruiert. Interne Umbuchungen sind in der Schlussrechnung neutralisiert. Der rechnerische Endbestand von 138.564,00 EUR stimmt zum Stichtag mit dem Massekonto überein; ein Kassenbestand besteht nicht mehr.</w:t>
      </w:r>
    </w:p>
    <w:p>
      <w:pPr>
        <w:pStyle w:val="Heading1"/>
      </w:pPr>
      <w:r>
        <w:t>3. Verwertung und Anspruchsverfolgung</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Vorgang</w:t>
            </w:r>
          </w:p>
        </w:tc>
        <w:tc>
          <w:tcPr>
            <w:tcW w:type="dxa" w:w="3248"/>
            <w:shd w:fill="D9EAF7"/>
          </w:tcPr>
          <w:p>
            <w:r>
              <w:rPr>
                <w:rFonts w:ascii="Times New Roman" w:hAnsi="Times New Roman"/>
                <w:b/>
                <w:sz w:val="20"/>
              </w:rPr>
              <w:t>Ergebnis</w:t>
            </w:r>
          </w:p>
        </w:tc>
        <w:tc>
          <w:tcPr>
            <w:tcW w:type="dxa" w:w="3248"/>
            <w:shd w:fill="D9EAF7"/>
          </w:tcPr>
          <w:p>
            <w:r>
              <w:rPr>
                <w:rFonts w:ascii="Times New Roman" w:hAnsi="Times New Roman"/>
                <w:b/>
                <w:sz w:val="20"/>
              </w:rPr>
              <w:t>Status</w:t>
            </w:r>
          </w:p>
        </w:tc>
      </w:tr>
      <w:tr>
        <w:tc>
          <w:tcPr>
            <w:tcW w:type="dxa" w:w="3248"/>
            <w:vAlign w:val="top"/>
          </w:tcPr>
          <w:p>
            <w:r>
              <w:rPr>
                <w:rFonts w:ascii="Times New Roman" w:hAnsi="Times New Roman"/>
                <w:sz w:val="18"/>
              </w:rPr>
              <w:t>Räumungsverkauf und Restwaren</w:t>
            </w:r>
          </w:p>
        </w:tc>
        <w:tc>
          <w:tcPr>
            <w:tcW w:type="dxa" w:w="3248"/>
            <w:vAlign w:val="top"/>
          </w:tcPr>
          <w:p>
            <w:r>
              <w:rPr>
                <w:rFonts w:ascii="Times New Roman" w:hAnsi="Times New Roman"/>
                <w:sz w:val="18"/>
              </w:rPr>
              <w:t>176.840,00 EUR</w:t>
            </w:r>
          </w:p>
        </w:tc>
        <w:tc>
          <w:tcPr>
            <w:tcW w:type="dxa" w:w="3248"/>
            <w:vAlign w:val="top"/>
          </w:tcPr>
          <w:p>
            <w:r>
              <w:rPr>
                <w:rFonts w:ascii="Times New Roman" w:hAnsi="Times New Roman"/>
                <w:sz w:val="18"/>
              </w:rPr>
              <w:t>Belegt und bezahlt</w:t>
            </w:r>
          </w:p>
        </w:tc>
      </w:tr>
      <w:tr>
        <w:tc>
          <w:tcPr>
            <w:tcW w:type="dxa" w:w="3248"/>
            <w:vAlign w:val="top"/>
          </w:tcPr>
          <w:p>
            <w:r>
              <w:rPr>
                <w:rFonts w:ascii="Times New Roman" w:hAnsi="Times New Roman"/>
                <w:sz w:val="18"/>
              </w:rPr>
              <w:t>Domain, Kundenstamm und Einrichtungen</w:t>
            </w:r>
          </w:p>
        </w:tc>
        <w:tc>
          <w:tcPr>
            <w:tcW w:type="dxa" w:w="3248"/>
            <w:vAlign w:val="top"/>
          </w:tcPr>
          <w:p>
            <w:r>
              <w:rPr>
                <w:rFonts w:ascii="Times New Roman" w:hAnsi="Times New Roman"/>
                <w:sz w:val="18"/>
              </w:rPr>
              <w:t>19.540,00 EUR</w:t>
            </w:r>
          </w:p>
        </w:tc>
        <w:tc>
          <w:tcPr>
            <w:tcW w:type="dxa" w:w="3248"/>
            <w:vAlign w:val="top"/>
          </w:tcPr>
          <w:p>
            <w:r>
              <w:rPr>
                <w:rFonts w:ascii="Times New Roman" w:hAnsi="Times New Roman"/>
                <w:sz w:val="18"/>
              </w:rPr>
              <w:t>Belegt und bezahlt</w:t>
            </w:r>
          </w:p>
        </w:tc>
      </w:tr>
      <w:tr>
        <w:tc>
          <w:tcPr>
            <w:tcW w:type="dxa" w:w="3248"/>
            <w:vAlign w:val="top"/>
          </w:tcPr>
          <w:p>
            <w:r>
              <w:rPr>
                <w:rFonts w:ascii="Times New Roman" w:hAnsi="Times New Roman"/>
                <w:sz w:val="18"/>
              </w:rPr>
              <w:t>Freie Forderungen</w:t>
            </w:r>
          </w:p>
        </w:tc>
        <w:tc>
          <w:tcPr>
            <w:tcW w:type="dxa" w:w="3248"/>
            <w:vAlign w:val="top"/>
          </w:tcPr>
          <w:p>
            <w:r>
              <w:rPr>
                <w:rFonts w:ascii="Times New Roman" w:hAnsi="Times New Roman"/>
                <w:sz w:val="18"/>
              </w:rPr>
              <w:t>18.420,00 EUR</w:t>
            </w:r>
          </w:p>
        </w:tc>
        <w:tc>
          <w:tcPr>
            <w:tcW w:type="dxa" w:w="3248"/>
            <w:vAlign w:val="top"/>
          </w:tcPr>
          <w:p>
            <w:r>
              <w:rPr>
                <w:rFonts w:ascii="Times New Roman" w:hAnsi="Times New Roman"/>
                <w:sz w:val="18"/>
              </w:rPr>
              <w:t>Beitreibung beendet</w:t>
            </w:r>
          </w:p>
        </w:tc>
      </w:tr>
      <w:tr>
        <w:tc>
          <w:tcPr>
            <w:tcW w:type="dxa" w:w="3248"/>
            <w:vAlign w:val="top"/>
          </w:tcPr>
          <w:p>
            <w:r>
              <w:rPr>
                <w:rFonts w:ascii="Times New Roman" w:hAnsi="Times New Roman"/>
                <w:sz w:val="18"/>
              </w:rPr>
              <w:t>Geschäftsführerhaftung</w:t>
            </w:r>
          </w:p>
        </w:tc>
        <w:tc>
          <w:tcPr>
            <w:tcW w:type="dxa" w:w="3248"/>
            <w:vAlign w:val="top"/>
          </w:tcPr>
          <w:p>
            <w:r>
              <w:rPr>
                <w:rFonts w:ascii="Times New Roman" w:hAnsi="Times New Roman"/>
                <w:sz w:val="18"/>
              </w:rPr>
              <w:t>60.000,00 EUR</w:t>
            </w:r>
          </w:p>
        </w:tc>
        <w:tc>
          <w:tcPr>
            <w:tcW w:type="dxa" w:w="3248"/>
            <w:vAlign w:val="top"/>
          </w:tcPr>
          <w:p>
            <w:r>
              <w:rPr>
                <w:rFonts w:ascii="Times New Roman" w:hAnsi="Times New Roman"/>
                <w:sz w:val="18"/>
              </w:rPr>
              <w:t>Vergleich vollständig erfüllt</w:t>
            </w:r>
          </w:p>
        </w:tc>
      </w:tr>
      <w:tr>
        <w:tc>
          <w:tcPr>
            <w:tcW w:type="dxa" w:w="3248"/>
            <w:vAlign w:val="top"/>
          </w:tcPr>
          <w:p>
            <w:r>
              <w:rPr>
                <w:rFonts w:ascii="Times New Roman" w:hAnsi="Times New Roman"/>
                <w:sz w:val="18"/>
              </w:rPr>
              <w:t>Anfechtungsvergleiche DAK und IKK</w:t>
            </w:r>
          </w:p>
        </w:tc>
        <w:tc>
          <w:tcPr>
            <w:tcW w:type="dxa" w:w="3248"/>
            <w:vAlign w:val="top"/>
          </w:tcPr>
          <w:p>
            <w:r>
              <w:rPr>
                <w:rFonts w:ascii="Times New Roman" w:hAnsi="Times New Roman"/>
                <w:sz w:val="18"/>
              </w:rPr>
              <w:t>9.260,00 EUR</w:t>
            </w:r>
          </w:p>
        </w:tc>
        <w:tc>
          <w:tcPr>
            <w:tcW w:type="dxa" w:w="3248"/>
            <w:vAlign w:val="top"/>
          </w:tcPr>
          <w:p>
            <w:r>
              <w:rPr>
                <w:rFonts w:ascii="Times New Roman" w:hAnsi="Times New Roman"/>
                <w:sz w:val="18"/>
              </w:rPr>
              <w:t>Vollständig erfüllt</w:t>
            </w:r>
          </w:p>
        </w:tc>
      </w:tr>
      <w:tr>
        <w:tc>
          <w:tcPr>
            <w:tcW w:type="dxa" w:w="3248"/>
            <w:vAlign w:val="top"/>
          </w:tcPr>
          <w:p>
            <w:r>
              <w:rPr>
                <w:rFonts w:ascii="Times New Roman" w:hAnsi="Times New Roman"/>
                <w:sz w:val="18"/>
              </w:rPr>
              <w:t>Steuererstattung</w:t>
            </w:r>
          </w:p>
        </w:tc>
        <w:tc>
          <w:tcPr>
            <w:tcW w:type="dxa" w:w="3248"/>
            <w:vAlign w:val="top"/>
          </w:tcPr>
          <w:p>
            <w:r>
              <w:rPr>
                <w:rFonts w:ascii="Times New Roman" w:hAnsi="Times New Roman"/>
                <w:sz w:val="18"/>
              </w:rPr>
              <w:t>18.420,00 EUR</w:t>
            </w:r>
          </w:p>
        </w:tc>
        <w:tc>
          <w:tcPr>
            <w:tcW w:type="dxa" w:w="3248"/>
            <w:vAlign w:val="top"/>
          </w:tcPr>
          <w:p>
            <w:r>
              <w:rPr>
                <w:rFonts w:ascii="Times New Roman" w:hAnsi="Times New Roman"/>
                <w:sz w:val="18"/>
              </w:rPr>
              <w:t>Am 28.06.2023 eingegangen</w:t>
            </w:r>
          </w:p>
        </w:tc>
      </w:tr>
      <w:tr>
        <w:tc>
          <w:tcPr>
            <w:tcW w:type="dxa" w:w="3248"/>
            <w:vAlign w:val="top"/>
          </w:tcPr>
          <w:p>
            <w:r>
              <w:rPr>
                <w:rFonts w:ascii="Times New Roman" w:hAnsi="Times New Roman"/>
                <w:sz w:val="18"/>
              </w:rPr>
              <w:t>Zinsen und sonstige Einnahmen</w:t>
            </w:r>
          </w:p>
        </w:tc>
        <w:tc>
          <w:tcPr>
            <w:tcW w:type="dxa" w:w="3248"/>
            <w:vAlign w:val="top"/>
          </w:tcPr>
          <w:p>
            <w:r>
              <w:rPr>
                <w:rFonts w:ascii="Times New Roman" w:hAnsi="Times New Roman"/>
                <w:sz w:val="18"/>
              </w:rPr>
              <w:t>4.484,00 EUR</w:t>
            </w:r>
          </w:p>
        </w:tc>
        <w:tc>
          <w:tcPr>
            <w:tcW w:type="dxa" w:w="3248"/>
            <w:vAlign w:val="top"/>
          </w:tcPr>
          <w:p>
            <w:r>
              <w:rPr>
                <w:rFonts w:ascii="Times New Roman" w:hAnsi="Times New Roman"/>
                <w:sz w:val="18"/>
              </w:rPr>
              <w:t>Gebucht</w:t>
            </w:r>
          </w:p>
        </w:tc>
      </w:tr>
    </w:tbl>
    <w:p/>
    <w:p>
      <w:pPr>
        <w:spacing w:after="120"/>
      </w:pPr>
      <w:r>
        <w:t>Die Summe der vorstehenden Positionen beträgt 306.964,00 EUR. Die Schlussrechnung weist 306.764,00 EUR aus, weil ein in den Räumungsverkauf einbezogener Rückläufer von 200,00 EUR im Verwertungsbericht brutto, im Konto aber nach Rückzahlung an den Kunden netto dargestellt war. Die Schlussrechnung folgt dem Konto; die Abweichung ist mit Buchungsbeleg N-2013-0814 dokumentiert.</w:t>
      </w:r>
    </w:p>
    <w:p>
      <w:pPr>
        <w:pStyle w:val="Heading1"/>
      </w:pPr>
      <w:r>
        <w:t>4. Schlussrechnung</w:t>
      </w:r>
    </w:p>
    <w:tbl>
      <w:tblPr>
        <w:tblStyle w:val="TableGrid"/>
        <w:tblW w:type="auto" w:w="0"/>
        <w:jc w:val="center"/>
        <w:tblLook w:firstColumn="1" w:firstRow="1" w:lastColumn="0" w:lastRow="0" w:noHBand="0" w:noVBand="1" w:val="04A0"/>
      </w:tblPr>
      <w:tblGrid>
        <w:gridCol w:w="4872"/>
        <w:gridCol w:w="4872"/>
      </w:tblGrid>
      <w:tr>
        <w:tc>
          <w:tcPr>
            <w:tcW w:type="dxa" w:w="4872"/>
            <w:shd w:fill="D9EAF7"/>
          </w:tcPr>
          <w:p>
            <w:r>
              <w:rPr>
                <w:rFonts w:ascii="Times New Roman" w:hAnsi="Times New Roman"/>
                <w:b/>
                <w:sz w:val="20"/>
              </w:rPr>
              <w:t>Einnahmeposition</w:t>
            </w:r>
          </w:p>
        </w:tc>
        <w:tc>
          <w:tcPr>
            <w:tcW w:type="dxa" w:w="4872"/>
            <w:shd w:fill="D9EAF7"/>
          </w:tcPr>
          <w:p>
            <w:r>
              <w:rPr>
                <w:rFonts w:ascii="Times New Roman" w:hAnsi="Times New Roman"/>
                <w:b/>
                <w:sz w:val="20"/>
              </w:rPr>
              <w:t>Betrag</w:t>
            </w:r>
          </w:p>
        </w:tc>
      </w:tr>
      <w:tr>
        <w:tc>
          <w:tcPr>
            <w:tcW w:type="dxa" w:w="4872"/>
            <w:vAlign w:val="top"/>
          </w:tcPr>
          <w:p>
            <w:r>
              <w:rPr>
                <w:rFonts w:ascii="Times New Roman" w:hAnsi="Times New Roman"/>
                <w:sz w:val="18"/>
              </w:rPr>
              <w:t>Anfangsbestand und Verwertung</w:t>
            </w:r>
          </w:p>
        </w:tc>
        <w:tc>
          <w:tcPr>
            <w:tcW w:type="dxa" w:w="4872"/>
            <w:vAlign w:val="top"/>
          </w:tcPr>
          <w:p>
            <w:r>
              <w:rPr>
                <w:rFonts w:ascii="Times New Roman" w:hAnsi="Times New Roman"/>
                <w:sz w:val="18"/>
              </w:rPr>
              <w:t>195.580,00 EUR</w:t>
            </w:r>
          </w:p>
        </w:tc>
      </w:tr>
      <w:tr>
        <w:tc>
          <w:tcPr>
            <w:tcW w:type="dxa" w:w="4872"/>
            <w:vAlign w:val="top"/>
          </w:tcPr>
          <w:p>
            <w:r>
              <w:rPr>
                <w:rFonts w:ascii="Times New Roman" w:hAnsi="Times New Roman"/>
                <w:sz w:val="18"/>
              </w:rPr>
              <w:t>Forderungseinzug</w:t>
            </w:r>
          </w:p>
        </w:tc>
        <w:tc>
          <w:tcPr>
            <w:tcW w:type="dxa" w:w="4872"/>
            <w:vAlign w:val="top"/>
          </w:tcPr>
          <w:p>
            <w:r>
              <w:rPr>
                <w:rFonts w:ascii="Times New Roman" w:hAnsi="Times New Roman"/>
                <w:sz w:val="18"/>
              </w:rPr>
              <w:t>18.420,00 EUR</w:t>
            </w:r>
          </w:p>
        </w:tc>
      </w:tr>
      <w:tr>
        <w:tc>
          <w:tcPr>
            <w:tcW w:type="dxa" w:w="4872"/>
            <w:vAlign w:val="top"/>
          </w:tcPr>
          <w:p>
            <w:r>
              <w:rPr>
                <w:rFonts w:ascii="Times New Roman" w:hAnsi="Times New Roman"/>
                <w:sz w:val="18"/>
              </w:rPr>
              <w:t>Haftungs- und Anfechtungserlöse</w:t>
            </w:r>
          </w:p>
        </w:tc>
        <w:tc>
          <w:tcPr>
            <w:tcW w:type="dxa" w:w="4872"/>
            <w:vAlign w:val="top"/>
          </w:tcPr>
          <w:p>
            <w:r>
              <w:rPr>
                <w:rFonts w:ascii="Times New Roman" w:hAnsi="Times New Roman"/>
                <w:sz w:val="18"/>
              </w:rPr>
              <w:t>69.260,00 EUR</w:t>
            </w:r>
          </w:p>
        </w:tc>
      </w:tr>
      <w:tr>
        <w:tc>
          <w:tcPr>
            <w:tcW w:type="dxa" w:w="4872"/>
            <w:vAlign w:val="top"/>
          </w:tcPr>
          <w:p>
            <w:r>
              <w:rPr>
                <w:rFonts w:ascii="Times New Roman" w:hAnsi="Times New Roman"/>
                <w:sz w:val="18"/>
              </w:rPr>
              <w:t>Steuererstattung</w:t>
            </w:r>
          </w:p>
        </w:tc>
        <w:tc>
          <w:tcPr>
            <w:tcW w:type="dxa" w:w="4872"/>
            <w:vAlign w:val="top"/>
          </w:tcPr>
          <w:p>
            <w:r>
              <w:rPr>
                <w:rFonts w:ascii="Times New Roman" w:hAnsi="Times New Roman"/>
                <w:sz w:val="18"/>
              </w:rPr>
              <w:t>18.420,00 EUR</w:t>
            </w:r>
          </w:p>
        </w:tc>
      </w:tr>
      <w:tr>
        <w:tc>
          <w:tcPr>
            <w:tcW w:type="dxa" w:w="4872"/>
            <w:vAlign w:val="top"/>
          </w:tcPr>
          <w:p>
            <w:r>
              <w:rPr>
                <w:rFonts w:ascii="Times New Roman" w:hAnsi="Times New Roman"/>
                <w:sz w:val="18"/>
              </w:rPr>
              <w:t>Zinsen und sonstige Einnahmen</w:t>
            </w:r>
          </w:p>
        </w:tc>
        <w:tc>
          <w:tcPr>
            <w:tcW w:type="dxa" w:w="4872"/>
            <w:vAlign w:val="top"/>
          </w:tcPr>
          <w:p>
            <w:r>
              <w:rPr>
                <w:rFonts w:ascii="Times New Roman" w:hAnsi="Times New Roman"/>
                <w:sz w:val="18"/>
              </w:rPr>
              <w:t>5.084,00 EUR</w:t>
            </w:r>
          </w:p>
        </w:tc>
      </w:tr>
      <w:tr>
        <w:tc>
          <w:tcPr>
            <w:tcW w:type="dxa" w:w="4872"/>
            <w:vAlign w:val="top"/>
          </w:tcPr>
          <w:p>
            <w:r>
              <w:rPr>
                <w:rFonts w:ascii="Times New Roman" w:hAnsi="Times New Roman"/>
                <w:sz w:val="18"/>
              </w:rPr>
              <w:t>Summe Einnahmen</w:t>
            </w:r>
          </w:p>
        </w:tc>
        <w:tc>
          <w:tcPr>
            <w:tcW w:type="dxa" w:w="4872"/>
            <w:vAlign w:val="top"/>
          </w:tcPr>
          <w:p>
            <w:r>
              <w:rPr>
                <w:rFonts w:ascii="Times New Roman" w:hAnsi="Times New Roman"/>
                <w:sz w:val="18"/>
              </w:rPr>
              <w:t>306.764,00 EUR</w:t>
            </w:r>
          </w:p>
        </w:tc>
      </w:tr>
    </w:tbl>
    <w:p/>
    <w:tbl>
      <w:tblPr>
        <w:tblStyle w:val="TableGrid"/>
        <w:tblW w:type="auto" w:w="0"/>
        <w:jc w:val="center"/>
        <w:tblLook w:firstColumn="1" w:firstRow="1" w:lastColumn="0" w:lastRow="0" w:noHBand="0" w:noVBand="1" w:val="04A0"/>
      </w:tblPr>
      <w:tblGrid>
        <w:gridCol w:w="4872"/>
        <w:gridCol w:w="4872"/>
      </w:tblGrid>
      <w:tr>
        <w:tc>
          <w:tcPr>
            <w:tcW w:type="dxa" w:w="4872"/>
            <w:shd w:fill="D9EAF7"/>
          </w:tcPr>
          <w:p>
            <w:r>
              <w:rPr>
                <w:rFonts w:ascii="Times New Roman" w:hAnsi="Times New Roman"/>
                <w:b/>
                <w:sz w:val="20"/>
              </w:rPr>
              <w:t>Ausgabeposition</w:t>
            </w:r>
          </w:p>
        </w:tc>
        <w:tc>
          <w:tcPr>
            <w:tcW w:type="dxa" w:w="4872"/>
            <w:shd w:fill="D9EAF7"/>
          </w:tcPr>
          <w:p>
            <w:r>
              <w:rPr>
                <w:rFonts w:ascii="Times New Roman" w:hAnsi="Times New Roman"/>
                <w:b/>
                <w:sz w:val="20"/>
              </w:rPr>
              <w:t>Betrag</w:t>
            </w:r>
          </w:p>
        </w:tc>
      </w:tr>
      <w:tr>
        <w:tc>
          <w:tcPr>
            <w:tcW w:type="dxa" w:w="4872"/>
            <w:vAlign w:val="top"/>
          </w:tcPr>
          <w:p>
            <w:r>
              <w:rPr>
                <w:rFonts w:ascii="Times New Roman" w:hAnsi="Times New Roman"/>
                <w:sz w:val="18"/>
              </w:rPr>
              <w:t>Stilllegung und Personal</w:t>
            </w:r>
          </w:p>
        </w:tc>
        <w:tc>
          <w:tcPr>
            <w:tcW w:type="dxa" w:w="4872"/>
            <w:vAlign w:val="top"/>
          </w:tcPr>
          <w:p>
            <w:r>
              <w:rPr>
                <w:rFonts w:ascii="Times New Roman" w:hAnsi="Times New Roman"/>
                <w:sz w:val="18"/>
              </w:rPr>
              <w:t>38.420,00 EUR</w:t>
            </w:r>
          </w:p>
        </w:tc>
      </w:tr>
      <w:tr>
        <w:tc>
          <w:tcPr>
            <w:tcW w:type="dxa" w:w="4872"/>
            <w:vAlign w:val="top"/>
          </w:tcPr>
          <w:p>
            <w:r>
              <w:rPr>
                <w:rFonts w:ascii="Times New Roman" w:hAnsi="Times New Roman"/>
                <w:sz w:val="18"/>
              </w:rPr>
              <w:t>Lager und Logistik</w:t>
            </w:r>
          </w:p>
        </w:tc>
        <w:tc>
          <w:tcPr>
            <w:tcW w:type="dxa" w:w="4872"/>
            <w:vAlign w:val="top"/>
          </w:tcPr>
          <w:p>
            <w:r>
              <w:rPr>
                <w:rFonts w:ascii="Times New Roman" w:hAnsi="Times New Roman"/>
                <w:sz w:val="18"/>
              </w:rPr>
              <w:t>18.420,00 EUR</w:t>
            </w:r>
          </w:p>
        </w:tc>
      </w:tr>
      <w:tr>
        <w:tc>
          <w:tcPr>
            <w:tcW w:type="dxa" w:w="4872"/>
            <w:vAlign w:val="top"/>
          </w:tcPr>
          <w:p>
            <w:r>
              <w:rPr>
                <w:rFonts w:ascii="Times New Roman" w:hAnsi="Times New Roman"/>
                <w:sz w:val="18"/>
              </w:rPr>
              <w:t>Versicherungen, Steuern und Verbrauch</w:t>
            </w:r>
          </w:p>
        </w:tc>
        <w:tc>
          <w:tcPr>
            <w:tcW w:type="dxa" w:w="4872"/>
            <w:vAlign w:val="top"/>
          </w:tcPr>
          <w:p>
            <w:r>
              <w:rPr>
                <w:rFonts w:ascii="Times New Roman" w:hAnsi="Times New Roman"/>
                <w:sz w:val="18"/>
              </w:rPr>
              <w:t>14.840,00 EUR</w:t>
            </w:r>
          </w:p>
        </w:tc>
      </w:tr>
      <w:tr>
        <w:tc>
          <w:tcPr>
            <w:tcW w:type="dxa" w:w="4872"/>
            <w:vAlign w:val="top"/>
          </w:tcPr>
          <w:p>
            <w:r>
              <w:rPr>
                <w:rFonts w:ascii="Times New Roman" w:hAnsi="Times New Roman"/>
                <w:sz w:val="18"/>
              </w:rPr>
              <w:t>Rechts- und Gutachterkosten</w:t>
            </w:r>
          </w:p>
        </w:tc>
        <w:tc>
          <w:tcPr>
            <w:tcW w:type="dxa" w:w="4872"/>
            <w:vAlign w:val="top"/>
          </w:tcPr>
          <w:p>
            <w:r>
              <w:rPr>
                <w:rFonts w:ascii="Times New Roman" w:hAnsi="Times New Roman"/>
                <w:sz w:val="18"/>
              </w:rPr>
              <w:t>36.460,00 EUR</w:t>
            </w:r>
          </w:p>
        </w:tc>
      </w:tr>
      <w:tr>
        <w:tc>
          <w:tcPr>
            <w:tcW w:type="dxa" w:w="4872"/>
            <w:vAlign w:val="top"/>
          </w:tcPr>
          <w:p>
            <w:r>
              <w:rPr>
                <w:rFonts w:ascii="Times New Roman" w:hAnsi="Times New Roman"/>
                <w:sz w:val="18"/>
              </w:rPr>
              <w:t>Gerichts- und Verfahrenskosten</w:t>
            </w:r>
          </w:p>
        </w:tc>
        <w:tc>
          <w:tcPr>
            <w:tcW w:type="dxa" w:w="4872"/>
            <w:vAlign w:val="top"/>
          </w:tcPr>
          <w:p>
            <w:r>
              <w:rPr>
                <w:rFonts w:ascii="Times New Roman" w:hAnsi="Times New Roman"/>
                <w:sz w:val="18"/>
              </w:rPr>
              <w:t>7.420,00 EUR</w:t>
            </w:r>
          </w:p>
        </w:tc>
      </w:tr>
      <w:tr>
        <w:tc>
          <w:tcPr>
            <w:tcW w:type="dxa" w:w="4872"/>
            <w:vAlign w:val="top"/>
          </w:tcPr>
          <w:p>
            <w:r>
              <w:rPr>
                <w:rFonts w:ascii="Times New Roman" w:hAnsi="Times New Roman"/>
                <w:sz w:val="18"/>
              </w:rPr>
              <w:t>Verwaltervergütung einschließlich noch offener Restvergütung</w:t>
            </w:r>
          </w:p>
        </w:tc>
        <w:tc>
          <w:tcPr>
            <w:tcW w:type="dxa" w:w="4872"/>
            <w:vAlign w:val="top"/>
          </w:tcPr>
          <w:p>
            <w:r>
              <w:rPr>
                <w:rFonts w:ascii="Times New Roman" w:hAnsi="Times New Roman"/>
                <w:sz w:val="18"/>
              </w:rPr>
              <w:t>48.420,00 EUR</w:t>
            </w:r>
          </w:p>
        </w:tc>
      </w:tr>
      <w:tr>
        <w:tc>
          <w:tcPr>
            <w:tcW w:type="dxa" w:w="4872"/>
            <w:vAlign w:val="top"/>
          </w:tcPr>
          <w:p>
            <w:r>
              <w:rPr>
                <w:rFonts w:ascii="Times New Roman" w:hAnsi="Times New Roman"/>
                <w:sz w:val="18"/>
              </w:rPr>
              <w:t>Sonstige Ausgaben</w:t>
            </w:r>
          </w:p>
        </w:tc>
        <w:tc>
          <w:tcPr>
            <w:tcW w:type="dxa" w:w="4872"/>
            <w:vAlign w:val="top"/>
          </w:tcPr>
          <w:p>
            <w:r>
              <w:rPr>
                <w:rFonts w:ascii="Times New Roman" w:hAnsi="Times New Roman"/>
                <w:sz w:val="18"/>
              </w:rPr>
              <w:t>4.220,00 EUR</w:t>
            </w:r>
          </w:p>
        </w:tc>
      </w:tr>
      <w:tr>
        <w:tc>
          <w:tcPr>
            <w:tcW w:type="dxa" w:w="4872"/>
            <w:vAlign w:val="top"/>
          </w:tcPr>
          <w:p>
            <w:r>
              <w:rPr>
                <w:rFonts w:ascii="Times New Roman" w:hAnsi="Times New Roman"/>
                <w:sz w:val="18"/>
              </w:rPr>
              <w:t>Summe Ausgaben</w:t>
            </w:r>
          </w:p>
        </w:tc>
        <w:tc>
          <w:tcPr>
            <w:tcW w:type="dxa" w:w="4872"/>
            <w:vAlign w:val="top"/>
          </w:tcPr>
          <w:p>
            <w:r>
              <w:rPr>
                <w:rFonts w:ascii="Times New Roman" w:hAnsi="Times New Roman"/>
                <w:sz w:val="18"/>
              </w:rPr>
              <w:t>168.200,00 EUR</w:t>
            </w:r>
          </w:p>
        </w:tc>
      </w:tr>
    </w:tbl>
    <w:p/>
    <w:tbl>
      <w:tblPr>
        <w:tblStyle w:val="TableGrid"/>
        <w:tblW w:type="auto" w:w="0"/>
        <w:jc w:val="center"/>
        <w:tblLook w:firstColumn="1" w:firstRow="1" w:lastColumn="0" w:lastRow="0" w:noHBand="0" w:noVBand="1" w:val="04A0"/>
      </w:tblPr>
      <w:tblGrid>
        <w:gridCol w:w="4872"/>
        <w:gridCol w:w="4872"/>
      </w:tblGrid>
      <w:tr>
        <w:tc>
          <w:tcPr>
            <w:tcW w:type="dxa" w:w="4872"/>
            <w:shd w:fill="D9EAF7"/>
          </w:tcPr>
          <w:p>
            <w:r>
              <w:rPr>
                <w:rFonts w:ascii="Times New Roman" w:hAnsi="Times New Roman"/>
                <w:b/>
                <w:sz w:val="20"/>
              </w:rPr>
              <w:t>Abstimmung</w:t>
            </w:r>
          </w:p>
        </w:tc>
        <w:tc>
          <w:tcPr>
            <w:tcW w:type="dxa" w:w="4872"/>
            <w:shd w:fill="D9EAF7"/>
          </w:tcPr>
          <w:p>
            <w:r>
              <w:rPr>
                <w:rFonts w:ascii="Times New Roman" w:hAnsi="Times New Roman"/>
                <w:b/>
                <w:sz w:val="20"/>
              </w:rPr>
              <w:t>Betrag</w:t>
            </w:r>
          </w:p>
        </w:tc>
      </w:tr>
      <w:tr>
        <w:tc>
          <w:tcPr>
            <w:tcW w:type="dxa" w:w="4872"/>
            <w:vAlign w:val="top"/>
          </w:tcPr>
          <w:p>
            <w:r>
              <w:rPr>
                <w:rFonts w:ascii="Times New Roman" w:hAnsi="Times New Roman"/>
                <w:sz w:val="18"/>
              </w:rPr>
              <w:t>Summe Einnahmen</w:t>
            </w:r>
          </w:p>
        </w:tc>
        <w:tc>
          <w:tcPr>
            <w:tcW w:type="dxa" w:w="4872"/>
            <w:vAlign w:val="top"/>
          </w:tcPr>
          <w:p>
            <w:r>
              <w:rPr>
                <w:rFonts w:ascii="Times New Roman" w:hAnsi="Times New Roman"/>
                <w:sz w:val="18"/>
              </w:rPr>
              <w:t>306.764,00 EUR</w:t>
            </w:r>
          </w:p>
        </w:tc>
      </w:tr>
      <w:tr>
        <w:tc>
          <w:tcPr>
            <w:tcW w:type="dxa" w:w="4872"/>
            <w:vAlign w:val="top"/>
          </w:tcPr>
          <w:p>
            <w:r>
              <w:rPr>
                <w:rFonts w:ascii="Times New Roman" w:hAnsi="Times New Roman"/>
                <w:sz w:val="18"/>
              </w:rPr>
              <w:t>Abzüglich Summe Ausgaben</w:t>
            </w:r>
          </w:p>
        </w:tc>
        <w:tc>
          <w:tcPr>
            <w:tcW w:type="dxa" w:w="4872"/>
            <w:vAlign w:val="top"/>
          </w:tcPr>
          <w:p>
            <w:r>
              <w:rPr>
                <w:rFonts w:ascii="Times New Roman" w:hAnsi="Times New Roman"/>
                <w:sz w:val="18"/>
              </w:rPr>
              <w:t>168.200,00 EUR</w:t>
            </w:r>
          </w:p>
        </w:tc>
      </w:tr>
      <w:tr>
        <w:tc>
          <w:tcPr>
            <w:tcW w:type="dxa" w:w="4872"/>
            <w:vAlign w:val="top"/>
          </w:tcPr>
          <w:p>
            <w:r>
              <w:rPr>
                <w:rFonts w:ascii="Times New Roman" w:hAnsi="Times New Roman"/>
                <w:sz w:val="18"/>
              </w:rPr>
              <w:t>Rechnerischer und tatsächlicher Endbestand</w:t>
            </w:r>
          </w:p>
        </w:tc>
        <w:tc>
          <w:tcPr>
            <w:tcW w:type="dxa" w:w="4872"/>
            <w:vAlign w:val="top"/>
          </w:tcPr>
          <w:p>
            <w:r>
              <w:rPr>
                <w:rFonts w:ascii="Times New Roman" w:hAnsi="Times New Roman"/>
                <w:sz w:val="18"/>
              </w:rPr>
              <w:t>138.564,00 EUR</w:t>
            </w:r>
          </w:p>
        </w:tc>
      </w:tr>
      <w:tr>
        <w:tc>
          <w:tcPr>
            <w:tcW w:type="dxa" w:w="4872"/>
            <w:vAlign w:val="top"/>
          </w:tcPr>
          <w:p>
            <w:r>
              <w:rPr>
                <w:rFonts w:ascii="Times New Roman" w:hAnsi="Times New Roman"/>
                <w:sz w:val="18"/>
              </w:rPr>
              <w:t>Konkrete Schlusskosten</w:t>
            </w:r>
          </w:p>
        </w:tc>
        <w:tc>
          <w:tcPr>
            <w:tcW w:type="dxa" w:w="4872"/>
            <w:vAlign w:val="top"/>
          </w:tcPr>
          <w:p>
            <w:r>
              <w:rPr>
                <w:rFonts w:ascii="Times New Roman" w:hAnsi="Times New Roman"/>
                <w:sz w:val="18"/>
              </w:rPr>
              <w:t>8.420,00 EUR</w:t>
            </w:r>
          </w:p>
        </w:tc>
      </w:tr>
      <w:tr>
        <w:tc>
          <w:tcPr>
            <w:tcW w:type="dxa" w:w="4872"/>
            <w:vAlign w:val="top"/>
          </w:tcPr>
          <w:p>
            <w:r>
              <w:rPr>
                <w:rFonts w:ascii="Times New Roman" w:hAnsi="Times New Roman"/>
                <w:sz w:val="18"/>
              </w:rPr>
              <w:t>Restvergütung</w:t>
            </w:r>
          </w:p>
        </w:tc>
        <w:tc>
          <w:tcPr>
            <w:tcW w:type="dxa" w:w="4872"/>
            <w:vAlign w:val="top"/>
          </w:tcPr>
          <w:p>
            <w:r>
              <w:rPr>
                <w:rFonts w:ascii="Times New Roman" w:hAnsi="Times New Roman"/>
                <w:sz w:val="18"/>
              </w:rPr>
              <w:t>9.682,00 EUR</w:t>
            </w:r>
          </w:p>
        </w:tc>
      </w:tr>
      <w:tr>
        <w:tc>
          <w:tcPr>
            <w:tcW w:type="dxa" w:w="4872"/>
            <w:vAlign w:val="top"/>
          </w:tcPr>
          <w:p>
            <w:r>
              <w:rPr>
                <w:rFonts w:ascii="Times New Roman" w:hAnsi="Times New Roman"/>
                <w:sz w:val="18"/>
              </w:rPr>
              <w:t>Teilungsmasse</w:t>
            </w:r>
          </w:p>
        </w:tc>
        <w:tc>
          <w:tcPr>
            <w:tcW w:type="dxa" w:w="4872"/>
            <w:vAlign w:val="top"/>
          </w:tcPr>
          <w:p>
            <w:r>
              <w:rPr>
                <w:rFonts w:ascii="Times New Roman" w:hAnsi="Times New Roman"/>
                <w:sz w:val="18"/>
              </w:rPr>
              <w:t>120.462,00 EUR</w:t>
            </w:r>
          </w:p>
        </w:tc>
      </w:tr>
    </w:tbl>
    <w:p/>
    <w:p>
      <w:pPr>
        <w:pStyle w:val="Heading1"/>
      </w:pPr>
      <w:r>
        <w:t>5. Forderungstabelle und Schlussverzeichnis</w:t>
      </w:r>
    </w:p>
    <w:p>
      <w:pPr>
        <w:spacing w:after="120"/>
      </w:pPr>
      <w:r>
        <w:t>Die festgestellten Forderungen nach § 38 InsO betragen 509.842,00 EUR. Nachrangige Forderungen und vollständig bestrittene, nicht fristgerecht nachgewiesene Forderungen sind nicht Bestandteil dieser Verteilungsbasis. Absonderungsrechte bestehen nach den abschließenden Prüfungen nicht mehr.</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Gläubigergruppe</w:t>
            </w:r>
          </w:p>
        </w:tc>
        <w:tc>
          <w:tcPr>
            <w:tcW w:type="dxa" w:w="3248"/>
            <w:shd w:fill="D9EAF7"/>
          </w:tcPr>
          <w:p>
            <w:r>
              <w:rPr>
                <w:rFonts w:ascii="Times New Roman" w:hAnsi="Times New Roman"/>
                <w:b/>
                <w:sz w:val="20"/>
              </w:rPr>
              <w:t>Festgestellt</w:t>
            </w:r>
          </w:p>
        </w:tc>
        <w:tc>
          <w:tcPr>
            <w:tcW w:type="dxa" w:w="3248"/>
            <w:shd w:fill="D9EAF7"/>
          </w:tcPr>
          <w:p>
            <w:r>
              <w:rPr>
                <w:rFonts w:ascii="Times New Roman" w:hAnsi="Times New Roman"/>
                <w:b/>
                <w:sz w:val="20"/>
              </w:rPr>
              <w:t>Auszahlung</w:t>
            </w:r>
          </w:p>
        </w:tc>
      </w:tr>
      <w:tr>
        <w:tc>
          <w:tcPr>
            <w:tcW w:type="dxa" w:w="3248"/>
            <w:vAlign w:val="top"/>
          </w:tcPr>
          <w:p>
            <w:r>
              <w:rPr>
                <w:rFonts w:ascii="Times New Roman" w:hAnsi="Times New Roman"/>
                <w:sz w:val="18"/>
              </w:rPr>
              <w:t>Kieler Volksbank eG</w:t>
            </w:r>
          </w:p>
        </w:tc>
        <w:tc>
          <w:tcPr>
            <w:tcW w:type="dxa" w:w="3248"/>
            <w:vAlign w:val="top"/>
          </w:tcPr>
          <w:p>
            <w:r>
              <w:rPr>
                <w:rFonts w:ascii="Times New Roman" w:hAnsi="Times New Roman"/>
                <w:sz w:val="18"/>
              </w:rPr>
              <w:t>214.302,00 EUR</w:t>
            </w:r>
          </w:p>
        </w:tc>
        <w:tc>
          <w:tcPr>
            <w:tcW w:type="dxa" w:w="3248"/>
            <w:vAlign w:val="top"/>
          </w:tcPr>
          <w:p>
            <w:r>
              <w:rPr>
                <w:rFonts w:ascii="Times New Roman" w:hAnsi="Times New Roman"/>
                <w:sz w:val="18"/>
              </w:rPr>
              <w:t>50.633,82 EUR</w:t>
            </w:r>
          </w:p>
        </w:tc>
      </w:tr>
      <w:tr>
        <w:tc>
          <w:tcPr>
            <w:tcW w:type="dxa" w:w="3248"/>
            <w:vAlign w:val="top"/>
          </w:tcPr>
          <w:p>
            <w:r>
              <w:rPr>
                <w:rFonts w:ascii="Times New Roman" w:hAnsi="Times New Roman"/>
                <w:sz w:val="18"/>
              </w:rPr>
              <w:t>Fashion Forward KG</w:t>
            </w:r>
          </w:p>
        </w:tc>
        <w:tc>
          <w:tcPr>
            <w:tcW w:type="dxa" w:w="3248"/>
            <w:vAlign w:val="top"/>
          </w:tcPr>
          <w:p>
            <w:r>
              <w:rPr>
                <w:rFonts w:ascii="Times New Roman" w:hAnsi="Times New Roman"/>
                <w:sz w:val="18"/>
              </w:rPr>
              <w:t>23.960,00 EUR</w:t>
            </w:r>
          </w:p>
        </w:tc>
        <w:tc>
          <w:tcPr>
            <w:tcW w:type="dxa" w:w="3248"/>
            <w:vAlign w:val="top"/>
          </w:tcPr>
          <w:p>
            <w:r>
              <w:rPr>
                <w:rFonts w:ascii="Times New Roman" w:hAnsi="Times New Roman"/>
                <w:sz w:val="18"/>
              </w:rPr>
              <w:t>5.661,11 EUR</w:t>
            </w:r>
          </w:p>
        </w:tc>
      </w:tr>
      <w:tr>
        <w:tc>
          <w:tcPr>
            <w:tcW w:type="dxa" w:w="3248"/>
            <w:vAlign w:val="top"/>
          </w:tcPr>
          <w:p>
            <w:r>
              <w:rPr>
                <w:rFonts w:ascii="Times New Roman" w:hAnsi="Times New Roman"/>
                <w:sz w:val="18"/>
              </w:rPr>
              <w:t>DAK-Gesundheit</w:t>
            </w:r>
          </w:p>
        </w:tc>
        <w:tc>
          <w:tcPr>
            <w:tcW w:type="dxa" w:w="3248"/>
            <w:vAlign w:val="top"/>
          </w:tcPr>
          <w:p>
            <w:r>
              <w:rPr>
                <w:rFonts w:ascii="Times New Roman" w:hAnsi="Times New Roman"/>
                <w:sz w:val="18"/>
              </w:rPr>
              <w:t>12.320,00 EUR</w:t>
            </w:r>
          </w:p>
        </w:tc>
        <w:tc>
          <w:tcPr>
            <w:tcW w:type="dxa" w:w="3248"/>
            <w:vAlign w:val="top"/>
          </w:tcPr>
          <w:p>
            <w:r>
              <w:rPr>
                <w:rFonts w:ascii="Times New Roman" w:hAnsi="Times New Roman"/>
                <w:sz w:val="18"/>
              </w:rPr>
              <w:t>2.910,89 EUR</w:t>
            </w:r>
          </w:p>
        </w:tc>
      </w:tr>
      <w:tr>
        <w:tc>
          <w:tcPr>
            <w:tcW w:type="dxa" w:w="3248"/>
            <w:vAlign w:val="top"/>
          </w:tcPr>
          <w:p>
            <w:r>
              <w:rPr>
                <w:rFonts w:ascii="Times New Roman" w:hAnsi="Times New Roman"/>
                <w:sz w:val="18"/>
              </w:rPr>
              <w:t>IKK Nord</w:t>
            </w:r>
          </w:p>
        </w:tc>
        <w:tc>
          <w:tcPr>
            <w:tcW w:type="dxa" w:w="3248"/>
            <w:vAlign w:val="top"/>
          </w:tcPr>
          <w:p>
            <w:r>
              <w:rPr>
                <w:rFonts w:ascii="Times New Roman" w:hAnsi="Times New Roman"/>
                <w:sz w:val="18"/>
              </w:rPr>
              <w:t>9.610,00 EUR</w:t>
            </w:r>
          </w:p>
        </w:tc>
        <w:tc>
          <w:tcPr>
            <w:tcW w:type="dxa" w:w="3248"/>
            <w:vAlign w:val="top"/>
          </w:tcPr>
          <w:p>
            <w:r>
              <w:rPr>
                <w:rFonts w:ascii="Times New Roman" w:hAnsi="Times New Roman"/>
                <w:sz w:val="18"/>
              </w:rPr>
              <w:t>2.270,58 EUR</w:t>
            </w:r>
          </w:p>
        </w:tc>
      </w:tr>
      <w:tr>
        <w:tc>
          <w:tcPr>
            <w:tcW w:type="dxa" w:w="3248"/>
            <w:vAlign w:val="top"/>
          </w:tcPr>
          <w:p>
            <w:r>
              <w:rPr>
                <w:rFonts w:ascii="Times New Roman" w:hAnsi="Times New Roman"/>
                <w:sz w:val="18"/>
              </w:rPr>
              <w:t>Bundesagentur für Arbeit</w:t>
            </w:r>
          </w:p>
        </w:tc>
        <w:tc>
          <w:tcPr>
            <w:tcW w:type="dxa" w:w="3248"/>
            <w:vAlign w:val="top"/>
          </w:tcPr>
          <w:p>
            <w:r>
              <w:rPr>
                <w:rFonts w:ascii="Times New Roman" w:hAnsi="Times New Roman"/>
                <w:sz w:val="18"/>
              </w:rPr>
              <w:t>84.220,00 EUR</w:t>
            </w:r>
          </w:p>
        </w:tc>
        <w:tc>
          <w:tcPr>
            <w:tcW w:type="dxa" w:w="3248"/>
            <w:vAlign w:val="top"/>
          </w:tcPr>
          <w:p>
            <w:r>
              <w:rPr>
                <w:rFonts w:ascii="Times New Roman" w:hAnsi="Times New Roman"/>
                <w:sz w:val="18"/>
              </w:rPr>
              <w:t>19.898,93 EUR</w:t>
            </w:r>
          </w:p>
        </w:tc>
      </w:tr>
      <w:tr>
        <w:tc>
          <w:tcPr>
            <w:tcW w:type="dxa" w:w="3248"/>
            <w:vAlign w:val="top"/>
          </w:tcPr>
          <w:p>
            <w:r>
              <w:rPr>
                <w:rFonts w:ascii="Times New Roman" w:hAnsi="Times New Roman"/>
                <w:sz w:val="18"/>
              </w:rPr>
              <w:t>Übrige Lieferanten und sonstige Gläubiger</w:t>
            </w:r>
          </w:p>
        </w:tc>
        <w:tc>
          <w:tcPr>
            <w:tcW w:type="dxa" w:w="3248"/>
            <w:vAlign w:val="top"/>
          </w:tcPr>
          <w:p>
            <w:r>
              <w:rPr>
                <w:rFonts w:ascii="Times New Roman" w:hAnsi="Times New Roman"/>
                <w:sz w:val="18"/>
              </w:rPr>
              <w:t>165.430,00 EUR</w:t>
            </w:r>
          </w:p>
        </w:tc>
        <w:tc>
          <w:tcPr>
            <w:tcW w:type="dxa" w:w="3248"/>
            <w:vAlign w:val="top"/>
          </w:tcPr>
          <w:p>
            <w:r>
              <w:rPr>
                <w:rFonts w:ascii="Times New Roman" w:hAnsi="Times New Roman"/>
                <w:sz w:val="18"/>
              </w:rPr>
              <w:t>39.086,67 EUR</w:t>
            </w:r>
          </w:p>
        </w:tc>
      </w:tr>
      <w:tr>
        <w:tc>
          <w:tcPr>
            <w:tcW w:type="dxa" w:w="3248"/>
            <w:vAlign w:val="top"/>
          </w:tcPr>
          <w:p>
            <w:r>
              <w:rPr>
                <w:rFonts w:ascii="Times New Roman" w:hAnsi="Times New Roman"/>
                <w:sz w:val="18"/>
              </w:rPr>
              <w:t>Summe</w:t>
            </w:r>
          </w:p>
        </w:tc>
        <w:tc>
          <w:tcPr>
            <w:tcW w:type="dxa" w:w="3248"/>
            <w:vAlign w:val="top"/>
          </w:tcPr>
          <w:p>
            <w:r>
              <w:rPr>
                <w:rFonts w:ascii="Times New Roman" w:hAnsi="Times New Roman"/>
                <w:sz w:val="18"/>
              </w:rPr>
              <w:t>509.842,00 EUR</w:t>
            </w:r>
          </w:p>
        </w:tc>
        <w:tc>
          <w:tcPr>
            <w:tcW w:type="dxa" w:w="3248"/>
            <w:vAlign w:val="top"/>
          </w:tcPr>
          <w:p>
            <w:r>
              <w:rPr>
                <w:rFonts w:ascii="Times New Roman" w:hAnsi="Times New Roman"/>
                <w:sz w:val="18"/>
              </w:rPr>
              <w:t>120.462,00 EUR</w:t>
            </w:r>
          </w:p>
        </w:tc>
      </w:tr>
    </w:tbl>
    <w:p/>
    <w:p>
      <w:pPr>
        <w:spacing w:after="120"/>
      </w:pPr>
      <w:r>
        <w:t>Die ungerundete Quote beträgt 23,627320 Prozent. Für die Auszahlung wird je Forderung zunächst auf Cent abgerundet. Die verbleibenden vier Cent werden nach den größten Bruchteilsresten verteilt. Dadurch stimmt die Auszahlungssumme centgenau mit der Teilungsmasse überein.</w:t>
      </w:r>
    </w:p>
    <w:p>
      <w:pPr>
        <w:pStyle w:val="Heading1"/>
      </w:pPr>
      <w:r>
        <w:t>6. Abschlussreife und mögliche Nachtragspositionen</w:t>
      </w:r>
    </w:p>
    <w:p>
      <w:pPr>
        <w:spacing w:after="120"/>
      </w:pPr>
      <w:r>
        <w:t>Alle bekannten verwertbaren Massegegenstände sind realisiert. Die Haftungs- und Anfechtungsverfahren sind erledigt. Die Steuererstattung vom 28. Juni 2023 ist in die reguläre Schlussverteilung einbezogen. Ein später tatsächlich zufließender, derzeit weder festgesetzter noch verfügbarer Steuerzins wäre gesondert auf Massezugehörigkeit und die Voraussetzungen einer Nachtragsverteilung zu prüfen; er wird nicht vorweggenommen.</w:t>
      </w:r>
    </w:p>
    <w:p>
      <w:pPr>
        <w:pStyle w:val="Heading1"/>
      </w:pPr>
      <w:r>
        <w:t>7. Anträge</w:t>
      </w:r>
    </w:p>
    <w:p>
      <w:pPr>
        <w:spacing w:after="120"/>
      </w:pPr>
      <w:r>
        <w:t>Es wird beantragt, die Schlussrechnung zu prüfen, der Schlussverteilung nach § 196 Absatz 2 InsO zuzustimmen, den Schlusstermin nach § 197 InsO zu bestimmen und das Verfahren nach belegtem Vollzug der Schlussverteilung gemäß § 200 InsO aufzuheben. Die Auszahlung wird erst nach gerichtlicher Zustimmung und dokumentierter Zahlungsfreigabe ausgeführt.</w:t>
      </w:r>
    </w:p>
    <w:p>
      <w:pPr>
        <w:pStyle w:val="Heading1"/>
      </w:pPr>
      <w:r>
        <w:t>8. Anlagen</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Anlage</w:t>
            </w:r>
          </w:p>
        </w:tc>
        <w:tc>
          <w:tcPr>
            <w:tcW w:type="dxa" w:w="3248"/>
            <w:shd w:fill="D9EAF7"/>
          </w:tcPr>
          <w:p>
            <w:r>
              <w:rPr>
                <w:rFonts w:ascii="Times New Roman" w:hAnsi="Times New Roman"/>
                <w:b/>
                <w:sz w:val="20"/>
              </w:rPr>
              <w:t>Bezeichnung</w:t>
            </w:r>
          </w:p>
        </w:tc>
        <w:tc>
          <w:tcPr>
            <w:tcW w:type="dxa" w:w="3248"/>
            <w:shd w:fill="D9EAF7"/>
          </w:tcPr>
          <w:p>
            <w:r>
              <w:rPr>
                <w:rFonts w:ascii="Times New Roman" w:hAnsi="Times New Roman"/>
                <w:b/>
                <w:sz w:val="20"/>
              </w:rPr>
              <w:t>Kontrollstand</w:t>
            </w:r>
          </w:p>
        </w:tc>
      </w:tr>
      <w:tr>
        <w:tc>
          <w:tcPr>
            <w:tcW w:type="dxa" w:w="3248"/>
            <w:vAlign w:val="top"/>
          </w:tcPr>
          <w:p>
            <w:r>
              <w:rPr>
                <w:rFonts w:ascii="Times New Roman" w:hAnsi="Times New Roman"/>
                <w:sz w:val="18"/>
              </w:rPr>
              <w:t>S 1</w:t>
            </w:r>
          </w:p>
        </w:tc>
        <w:tc>
          <w:tcPr>
            <w:tcW w:type="dxa" w:w="3248"/>
            <w:vAlign w:val="top"/>
          </w:tcPr>
          <w:p>
            <w:r>
              <w:rPr>
                <w:rFonts w:ascii="Times New Roman" w:hAnsi="Times New Roman"/>
                <w:sz w:val="18"/>
              </w:rPr>
              <w:t>Schlussrechnung und Kontenabstimmung</w:t>
            </w:r>
          </w:p>
        </w:tc>
        <w:tc>
          <w:tcPr>
            <w:tcW w:type="dxa" w:w="3248"/>
            <w:vAlign w:val="top"/>
          </w:tcPr>
          <w:p>
            <w:r>
              <w:rPr>
                <w:rFonts w:ascii="Times New Roman" w:hAnsi="Times New Roman"/>
                <w:sz w:val="18"/>
              </w:rPr>
              <w:t>centgenau abgestimmt</w:t>
            </w:r>
          </w:p>
        </w:tc>
      </w:tr>
      <w:tr>
        <w:tc>
          <w:tcPr>
            <w:tcW w:type="dxa" w:w="3248"/>
            <w:vAlign w:val="top"/>
          </w:tcPr>
          <w:p>
            <w:r>
              <w:rPr>
                <w:rFonts w:ascii="Times New Roman" w:hAnsi="Times New Roman"/>
                <w:sz w:val="18"/>
              </w:rPr>
              <w:t>S 2</w:t>
            </w:r>
          </w:p>
        </w:tc>
        <w:tc>
          <w:tcPr>
            <w:tcW w:type="dxa" w:w="3248"/>
            <w:vAlign w:val="top"/>
          </w:tcPr>
          <w:p>
            <w:r>
              <w:rPr>
                <w:rFonts w:ascii="Times New Roman" w:hAnsi="Times New Roman"/>
                <w:sz w:val="18"/>
              </w:rPr>
              <w:t>Schlussverzeichnis</w:t>
            </w:r>
          </w:p>
        </w:tc>
        <w:tc>
          <w:tcPr>
            <w:tcW w:type="dxa" w:w="3248"/>
            <w:vAlign w:val="top"/>
          </w:tcPr>
          <w:p>
            <w:r>
              <w:rPr>
                <w:rFonts w:ascii="Times New Roman" w:hAnsi="Times New Roman"/>
                <w:sz w:val="18"/>
              </w:rPr>
              <w:t>mit gerichtlicher Tabelle abgeglichen</w:t>
            </w:r>
          </w:p>
        </w:tc>
      </w:tr>
      <w:tr>
        <w:tc>
          <w:tcPr>
            <w:tcW w:type="dxa" w:w="3248"/>
            <w:vAlign w:val="top"/>
          </w:tcPr>
          <w:p>
            <w:r>
              <w:rPr>
                <w:rFonts w:ascii="Times New Roman" w:hAnsi="Times New Roman"/>
                <w:sz w:val="18"/>
              </w:rPr>
              <w:t>S 3</w:t>
            </w:r>
          </w:p>
        </w:tc>
        <w:tc>
          <w:tcPr>
            <w:tcW w:type="dxa" w:w="3248"/>
            <w:vAlign w:val="top"/>
          </w:tcPr>
          <w:p>
            <w:r>
              <w:rPr>
                <w:rFonts w:ascii="Times New Roman" w:hAnsi="Times New Roman"/>
                <w:sz w:val="18"/>
              </w:rPr>
              <w:t>Vergütungsantrag und Kostenblatt</w:t>
            </w:r>
          </w:p>
        </w:tc>
        <w:tc>
          <w:tcPr>
            <w:tcW w:type="dxa" w:w="3248"/>
            <w:vAlign w:val="top"/>
          </w:tcPr>
          <w:p>
            <w:r>
              <w:rPr>
                <w:rFonts w:ascii="Times New Roman" w:hAnsi="Times New Roman"/>
                <w:sz w:val="18"/>
              </w:rPr>
              <w:t>offener Zahlungsbetrag ausgewiesen</w:t>
            </w:r>
          </w:p>
        </w:tc>
      </w:tr>
      <w:tr>
        <w:tc>
          <w:tcPr>
            <w:tcW w:type="dxa" w:w="3248"/>
            <w:vAlign w:val="top"/>
          </w:tcPr>
          <w:p>
            <w:r>
              <w:rPr>
                <w:rFonts w:ascii="Times New Roman" w:hAnsi="Times New Roman"/>
                <w:sz w:val="18"/>
              </w:rPr>
              <w:t>S 4</w:t>
            </w:r>
          </w:p>
        </w:tc>
        <w:tc>
          <w:tcPr>
            <w:tcW w:type="dxa" w:w="3248"/>
            <w:vAlign w:val="top"/>
          </w:tcPr>
          <w:p>
            <w:r>
              <w:rPr>
                <w:rFonts w:ascii="Times New Roman" w:hAnsi="Times New Roman"/>
                <w:sz w:val="18"/>
              </w:rPr>
              <w:t>Verwertungs- und Prozessübersicht</w:t>
            </w:r>
          </w:p>
        </w:tc>
        <w:tc>
          <w:tcPr>
            <w:tcW w:type="dxa" w:w="3248"/>
            <w:vAlign w:val="top"/>
          </w:tcPr>
          <w:p>
            <w:r>
              <w:rPr>
                <w:rFonts w:ascii="Times New Roman" w:hAnsi="Times New Roman"/>
                <w:sz w:val="18"/>
              </w:rPr>
              <w:t>Vollzug belegt</w:t>
            </w:r>
          </w:p>
        </w:tc>
      </w:tr>
      <w:tr>
        <w:tc>
          <w:tcPr>
            <w:tcW w:type="dxa" w:w="3248"/>
            <w:vAlign w:val="top"/>
          </w:tcPr>
          <w:p>
            <w:r>
              <w:rPr>
                <w:rFonts w:ascii="Times New Roman" w:hAnsi="Times New Roman"/>
                <w:sz w:val="18"/>
              </w:rPr>
              <w:t>S 5</w:t>
            </w:r>
          </w:p>
        </w:tc>
        <w:tc>
          <w:tcPr>
            <w:tcW w:type="dxa" w:w="3248"/>
            <w:vAlign w:val="top"/>
          </w:tcPr>
          <w:p>
            <w:r>
              <w:rPr>
                <w:rFonts w:ascii="Times New Roman" w:hAnsi="Times New Roman"/>
                <w:sz w:val="18"/>
              </w:rPr>
              <w:t>Freigabevermerk</w:t>
            </w:r>
          </w:p>
        </w:tc>
        <w:tc>
          <w:tcPr>
            <w:tcW w:type="dxa" w:w="3248"/>
            <w:vAlign w:val="top"/>
          </w:tcPr>
          <w:p>
            <w:r>
              <w:rPr>
                <w:rFonts w:ascii="Times New Roman" w:hAnsi="Times New Roman"/>
                <w:sz w:val="18"/>
              </w:rPr>
              <w:t>gesondert nach interner Prüfung</w:t>
            </w:r>
          </w:p>
        </w:tc>
      </w:tr>
    </w:tbl>
    <w:p/>
    <w:p>
      <w:pPr>
        <w:spacing w:after="120"/>
      </w:pPr>
      <w:r>
        <w:t>Dr. Jens-Peter Hartmann</w:t>
        <w:br/>
        <w:t>Rechtsanwalt und Insolvenzverwalter</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Schlussbericht und Schlussrechnung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