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Beschluss über die Aufhebung</w:t>
      </w:r>
    </w:p>
    <w:p>
      <w:pPr>
        <w:jc w:val="center"/>
      </w:pPr>
      <w:r>
        <w:rPr>
          <w:b/>
        </w:rPr>
        <w:t>Synthetisches Aktenstück – AG Kiel 10 IN 127/13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Verfahrensangabe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Insolvenzgericht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Amtsgericht Kiel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Aktenzeichen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10 IN 127/13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Schuldnerin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Nordlicht Handels GmbH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Insolvenzverwaltung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Dr. Jens-Peter Hartmann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Datum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30. April 2024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Gegenstand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Aufhebung nach vollzogener Schlussverteilung</w:t>
            </w:r>
          </w:p>
        </w:tc>
      </w:tr>
    </w:tbl>
    <w:p/>
    <w:p>
      <w:pPr>
        <w:pStyle w:val="Heading1"/>
      </w:pPr>
      <w:r>
        <w:t>1. Entscheidung</w:t>
      </w:r>
    </w:p>
    <w:p>
      <w:pPr>
        <w:spacing w:after="120"/>
      </w:pPr>
      <w:r>
        <w:t>Das Insolvenzverfahren über das Vermögen der Nordlicht Handels GmbH wird nach vollzogener Schlussverteilung gemäß § 200 Absatz 1 InsO aufgehoben.</w:t>
      </w:r>
    </w:p>
    <w:p>
      <w:pPr>
        <w:pStyle w:val="Heading1"/>
      </w:pPr>
      <w:r>
        <w:t>2. Hinweis</w:t>
      </w:r>
    </w:p>
    <w:p>
      <w:pPr>
        <w:spacing w:after="120"/>
      </w:pPr>
      <w:r>
        <w:t>Sollte nach der Aufhebung ein bislang nicht verfügbarer Massegegenstand ermittelt oder ein zur Masse gehörender Betrag zurückgezahlt werden, bleibt eine Anordnung der Nachtragsverteilung nach § 203 InsO vorbehalten. Dieser Hinweis stellt weder eine solche Anordnung noch die Feststellung der Massezugehörigkeit eines künftigen Anspruchs dar.</w:t>
      </w:r>
    </w:p>
    <w:sectPr w:rsidR="00FC693F" w:rsidRPr="0006063C" w:rsidSect="00034616"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Beschluss über die Aufhebung</dc:title>
  <dc:subject>Insolvenzverwaltung</dc:subject>
  <dc:creator>Synthetische Testakte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