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14. Zwischenbericht</w:t>
      </w:r>
    </w:p>
    <w:p>
      <w:pPr>
        <w:jc w:val="center"/>
      </w:pPr>
      <w:r>
        <w:rPr>
          <w:b/>
        </w:rPr>
        <w:t>Nordlicht Handels GmbH – AG Kiel 10 IN 127/13</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Kiel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10 IN 127/13</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Nordlicht Handels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Jens-Peter Hartmann</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31. Dezember 2023</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Berichtszeitraum 1. Januar bis 31. Dezember 2023</w:t>
            </w:r>
          </w:p>
        </w:tc>
      </w:tr>
    </w:tbl>
    <w:p/>
    <w:p>
      <w:pPr>
        <w:pStyle w:val="Heading1"/>
      </w:pPr>
      <w:r>
        <w:t>1. Auftrag und Stichtag</w:t>
      </w:r>
    </w:p>
    <w:p>
      <w:pPr>
        <w:spacing w:after="120"/>
      </w:pPr>
      <w:r>
        <w:t>Dieser Bericht schreibt den bisherigen Verfahrensstand bis zum 31. Dezember 2023 fort. Er trennt tatsächlich eingegangene Masse von lediglich erwarteten Zuflüssen. Beträge nach dem Stichtag werden nicht vorweggenommen.</w:t>
      </w:r>
    </w:p>
    <w:p>
      <w:pPr>
        <w:pStyle w:val="Heading1"/>
      </w:pPr>
      <w:r>
        <w:t>2. Verfahrensstand</w:t>
      </w:r>
    </w:p>
    <w:p>
      <w:pPr>
        <w:spacing w:after="120"/>
      </w:pPr>
      <w:r>
        <w:t>Der Geschäftsbetrieb ist seit dem 31. August 2013 eingestellt. Die Waren, Einrichtungen und freien Forderungen sind verwertet. Die Haftungs- und Anfechtungskomplexe sind durch Vergleich und Zahlung erledigt. Die Schlussbearbeitung war zuletzt wegen der steuerlichen Außenprüfung der Jahre 2008 bis 2012 und der abschließenden Kontenabstimmung noch nicht reif.</w:t>
      </w:r>
    </w:p>
    <w:p>
      <w:pPr>
        <w:pStyle w:val="Heading1"/>
      </w:pPr>
      <w:r>
        <w:t>3. Steuererstattung und Begriffskorrektur</w:t>
      </w:r>
    </w:p>
    <w:p>
      <w:pPr>
        <w:spacing w:after="120"/>
      </w:pPr>
      <w:r>
        <w:t>Das Finanzamt Kiel-Süd zahlte am 28. Juni 2023 einen Erstattungsbetrag von 18.420,00 EUR auf das Massekonto. Da das Insolvenzverfahren fortbesteht, handelt es sich um einen späten Massezufluss innerhalb des laufenden Verfahrens. Eine Nachtragsverteilung setzt demgegenüber ein aufgehobenes Verfahren voraus. Der Betrag wird deshalb in die Schlussrechnung und die reguläre Schlussverteilung eingestellt.</w:t>
      </w:r>
    </w:p>
    <w:p>
      <w:pPr>
        <w:pStyle w:val="Heading1"/>
      </w:pPr>
      <w:r>
        <w:t>4. Masse und Tabelle</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Kontrollgröße</w:t>
            </w:r>
          </w:p>
        </w:tc>
        <w:tc>
          <w:tcPr>
            <w:tcW w:type="dxa" w:w="3248"/>
            <w:shd w:fill="D9EAF7"/>
          </w:tcPr>
          <w:p>
            <w:r>
              <w:rPr>
                <w:rFonts w:ascii="Times New Roman" w:hAnsi="Times New Roman"/>
                <w:b/>
                <w:sz w:val="20"/>
              </w:rPr>
              <w:t>Stand</w:t>
            </w:r>
          </w:p>
        </w:tc>
        <w:tc>
          <w:tcPr>
            <w:tcW w:type="dxa" w:w="3248"/>
            <w:shd w:fill="D9EAF7"/>
          </w:tcPr>
          <w:p>
            <w:r>
              <w:rPr>
                <w:rFonts w:ascii="Times New Roman" w:hAnsi="Times New Roman"/>
                <w:b/>
                <w:sz w:val="20"/>
              </w:rPr>
              <w:t>Belegstatus</w:t>
            </w:r>
          </w:p>
        </w:tc>
      </w:tr>
      <w:tr>
        <w:tc>
          <w:tcPr>
            <w:tcW w:type="dxa" w:w="3248"/>
            <w:vAlign w:val="top"/>
          </w:tcPr>
          <w:p>
            <w:r>
              <w:rPr>
                <w:rFonts w:ascii="Times New Roman" w:hAnsi="Times New Roman"/>
                <w:sz w:val="18"/>
              </w:rPr>
              <w:t>Massebestand vor Schlusskosten</w:t>
            </w:r>
          </w:p>
        </w:tc>
        <w:tc>
          <w:tcPr>
            <w:tcW w:type="dxa" w:w="3248"/>
            <w:vAlign w:val="top"/>
          </w:tcPr>
          <w:p>
            <w:r>
              <w:rPr>
                <w:rFonts w:ascii="Times New Roman" w:hAnsi="Times New Roman"/>
                <w:sz w:val="18"/>
              </w:rPr>
              <w:t>138.564,00 EUR</w:t>
            </w:r>
          </w:p>
        </w:tc>
        <w:tc>
          <w:tcPr>
            <w:tcW w:type="dxa" w:w="3248"/>
            <w:vAlign w:val="top"/>
          </w:tcPr>
          <w:p>
            <w:r>
              <w:rPr>
                <w:rFonts w:ascii="Times New Roman" w:hAnsi="Times New Roman"/>
                <w:sz w:val="18"/>
              </w:rPr>
              <w:t>Kontoauszug und Buchungsjournal abgestimmt</w:t>
            </w:r>
          </w:p>
        </w:tc>
      </w:tr>
      <w:tr>
        <w:tc>
          <w:tcPr>
            <w:tcW w:type="dxa" w:w="3248"/>
            <w:vAlign w:val="top"/>
          </w:tcPr>
          <w:p>
            <w:r>
              <w:rPr>
                <w:rFonts w:ascii="Times New Roman" w:hAnsi="Times New Roman"/>
                <w:sz w:val="18"/>
              </w:rPr>
              <w:t>Noch abzudeckende Schlusskosten</w:t>
            </w:r>
          </w:p>
        </w:tc>
        <w:tc>
          <w:tcPr>
            <w:tcW w:type="dxa" w:w="3248"/>
            <w:vAlign w:val="top"/>
          </w:tcPr>
          <w:p>
            <w:r>
              <w:rPr>
                <w:rFonts w:ascii="Times New Roman" w:hAnsi="Times New Roman"/>
                <w:sz w:val="18"/>
              </w:rPr>
              <w:t>8.420,00 EUR</w:t>
            </w:r>
          </w:p>
        </w:tc>
        <w:tc>
          <w:tcPr>
            <w:tcW w:type="dxa" w:w="3248"/>
            <w:vAlign w:val="top"/>
          </w:tcPr>
          <w:p>
            <w:r>
              <w:rPr>
                <w:rFonts w:ascii="Times New Roman" w:hAnsi="Times New Roman"/>
                <w:sz w:val="18"/>
              </w:rPr>
              <w:t>Einzelansätze im Kostenblatt</w:t>
            </w:r>
          </w:p>
        </w:tc>
      </w:tr>
      <w:tr>
        <w:tc>
          <w:tcPr>
            <w:tcW w:type="dxa" w:w="3248"/>
            <w:vAlign w:val="top"/>
          </w:tcPr>
          <w:p>
            <w:r>
              <w:rPr>
                <w:rFonts w:ascii="Times New Roman" w:hAnsi="Times New Roman"/>
                <w:sz w:val="18"/>
              </w:rPr>
              <w:t>Noch nicht gezahlte Restvergütung</w:t>
            </w:r>
          </w:p>
        </w:tc>
        <w:tc>
          <w:tcPr>
            <w:tcW w:type="dxa" w:w="3248"/>
            <w:vAlign w:val="top"/>
          </w:tcPr>
          <w:p>
            <w:r>
              <w:rPr>
                <w:rFonts w:ascii="Times New Roman" w:hAnsi="Times New Roman"/>
                <w:sz w:val="18"/>
              </w:rPr>
              <w:t>9.682,00 EUR</w:t>
            </w:r>
          </w:p>
        </w:tc>
        <w:tc>
          <w:tcPr>
            <w:tcW w:type="dxa" w:w="3248"/>
            <w:vAlign w:val="top"/>
          </w:tcPr>
          <w:p>
            <w:r>
              <w:rPr>
                <w:rFonts w:ascii="Times New Roman" w:hAnsi="Times New Roman"/>
                <w:sz w:val="18"/>
              </w:rPr>
              <w:t>Festsetzung und Zahlung stehen aus</w:t>
            </w:r>
          </w:p>
        </w:tc>
      </w:tr>
      <w:tr>
        <w:tc>
          <w:tcPr>
            <w:tcW w:type="dxa" w:w="3248"/>
            <w:vAlign w:val="top"/>
          </w:tcPr>
          <w:p>
            <w:r>
              <w:rPr>
                <w:rFonts w:ascii="Times New Roman" w:hAnsi="Times New Roman"/>
                <w:sz w:val="18"/>
              </w:rPr>
              <w:t>Voraussichtliche Teilungsmasse</w:t>
            </w:r>
          </w:p>
        </w:tc>
        <w:tc>
          <w:tcPr>
            <w:tcW w:type="dxa" w:w="3248"/>
            <w:vAlign w:val="top"/>
          </w:tcPr>
          <w:p>
            <w:r>
              <w:rPr>
                <w:rFonts w:ascii="Times New Roman" w:hAnsi="Times New Roman"/>
                <w:sz w:val="18"/>
              </w:rPr>
              <w:t>120.462,00 EUR</w:t>
            </w:r>
          </w:p>
        </w:tc>
        <w:tc>
          <w:tcPr>
            <w:tcW w:type="dxa" w:w="3248"/>
            <w:vAlign w:val="top"/>
          </w:tcPr>
          <w:p>
            <w:r>
              <w:rPr>
                <w:rFonts w:ascii="Times New Roman" w:hAnsi="Times New Roman"/>
                <w:sz w:val="18"/>
              </w:rPr>
              <w:t>Erst nach Freigabe und gerichtlicher Zustimmung verfügbar</w:t>
            </w:r>
          </w:p>
        </w:tc>
      </w:tr>
      <w:tr>
        <w:tc>
          <w:tcPr>
            <w:tcW w:type="dxa" w:w="3248"/>
            <w:vAlign w:val="top"/>
          </w:tcPr>
          <w:p>
            <w:r>
              <w:rPr>
                <w:rFonts w:ascii="Times New Roman" w:hAnsi="Times New Roman"/>
                <w:sz w:val="18"/>
              </w:rPr>
              <w:t>Festgestellte Forderungen nach § 38 InsO</w:t>
            </w:r>
          </w:p>
        </w:tc>
        <w:tc>
          <w:tcPr>
            <w:tcW w:type="dxa" w:w="3248"/>
            <w:vAlign w:val="top"/>
          </w:tcPr>
          <w:p>
            <w:r>
              <w:rPr>
                <w:rFonts w:ascii="Times New Roman" w:hAnsi="Times New Roman"/>
                <w:sz w:val="18"/>
              </w:rPr>
              <w:t>509.842,00 EUR</w:t>
            </w:r>
          </w:p>
        </w:tc>
        <w:tc>
          <w:tcPr>
            <w:tcW w:type="dxa" w:w="3248"/>
            <w:vAlign w:val="top"/>
          </w:tcPr>
          <w:p>
            <w:r>
              <w:rPr>
                <w:rFonts w:ascii="Times New Roman" w:hAnsi="Times New Roman"/>
                <w:sz w:val="18"/>
              </w:rPr>
              <w:t>Tabellenauszug zum 31.12.2023</w:t>
            </w:r>
          </w:p>
        </w:tc>
      </w:tr>
    </w:tbl>
    <w:p/>
    <w:p>
      <w:pPr>
        <w:pStyle w:val="Heading1"/>
      </w:pPr>
      <w:r>
        <w:t>5. Offene Abschlussarbeiten</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Arbeitsschritt</w:t>
            </w:r>
          </w:p>
        </w:tc>
        <w:tc>
          <w:tcPr>
            <w:tcW w:type="dxa" w:w="3248"/>
            <w:shd w:fill="D9EAF7"/>
          </w:tcPr>
          <w:p>
            <w:r>
              <w:rPr>
                <w:rFonts w:ascii="Times New Roman" w:hAnsi="Times New Roman"/>
                <w:b/>
                <w:sz w:val="20"/>
              </w:rPr>
              <w:t>Verantwortlich</w:t>
            </w:r>
          </w:p>
        </w:tc>
        <w:tc>
          <w:tcPr>
            <w:tcW w:type="dxa" w:w="3248"/>
            <w:shd w:fill="D9EAF7"/>
          </w:tcPr>
          <w:p>
            <w:r>
              <w:rPr>
                <w:rFonts w:ascii="Times New Roman" w:hAnsi="Times New Roman"/>
                <w:b/>
                <w:sz w:val="20"/>
              </w:rPr>
              <w:t>Sperrwirkung</w:t>
            </w:r>
          </w:p>
        </w:tc>
      </w:tr>
      <w:tr>
        <w:tc>
          <w:tcPr>
            <w:tcW w:type="dxa" w:w="3248"/>
            <w:vAlign w:val="top"/>
          </w:tcPr>
          <w:p>
            <w:r>
              <w:rPr>
                <w:rFonts w:ascii="Times New Roman" w:hAnsi="Times New Roman"/>
                <w:sz w:val="18"/>
              </w:rPr>
              <w:t>Schlusskonto und Buchungsjournal centgenau abstimmen</w:t>
            </w:r>
          </w:p>
        </w:tc>
        <w:tc>
          <w:tcPr>
            <w:tcW w:type="dxa" w:w="3248"/>
            <w:vAlign w:val="top"/>
          </w:tcPr>
          <w:p>
            <w:r>
              <w:rPr>
                <w:rFonts w:ascii="Times New Roman" w:hAnsi="Times New Roman"/>
                <w:sz w:val="18"/>
              </w:rPr>
              <w:t>Sachbearbeitung und Verwalter</w:t>
            </w:r>
          </w:p>
        </w:tc>
        <w:tc>
          <w:tcPr>
            <w:tcW w:type="dxa" w:w="3248"/>
            <w:vAlign w:val="top"/>
          </w:tcPr>
          <w:p>
            <w:r>
              <w:rPr>
                <w:rFonts w:ascii="Times New Roman" w:hAnsi="Times New Roman"/>
                <w:sz w:val="18"/>
              </w:rPr>
              <w:t>Sperrt Schlussrechnung</w:t>
            </w:r>
          </w:p>
        </w:tc>
      </w:tr>
      <w:tr>
        <w:tc>
          <w:tcPr>
            <w:tcW w:type="dxa" w:w="3248"/>
            <w:vAlign w:val="top"/>
          </w:tcPr>
          <w:p>
            <w:r>
              <w:rPr>
                <w:rFonts w:ascii="Times New Roman" w:hAnsi="Times New Roman"/>
                <w:sz w:val="18"/>
              </w:rPr>
              <w:t>Restvergütung und Gerichtskosten belegen</w:t>
            </w:r>
          </w:p>
        </w:tc>
        <w:tc>
          <w:tcPr>
            <w:tcW w:type="dxa" w:w="3248"/>
            <w:vAlign w:val="top"/>
          </w:tcPr>
          <w:p>
            <w:r>
              <w:rPr>
                <w:rFonts w:ascii="Times New Roman" w:hAnsi="Times New Roman"/>
                <w:sz w:val="18"/>
              </w:rPr>
              <w:t>Verwalter und Gericht</w:t>
            </w:r>
          </w:p>
        </w:tc>
        <w:tc>
          <w:tcPr>
            <w:tcW w:type="dxa" w:w="3248"/>
            <w:vAlign w:val="top"/>
          </w:tcPr>
          <w:p>
            <w:r>
              <w:rPr>
                <w:rFonts w:ascii="Times New Roman" w:hAnsi="Times New Roman"/>
                <w:sz w:val="18"/>
              </w:rPr>
              <w:t>Sperrt Teilungsmasse</w:t>
            </w:r>
          </w:p>
        </w:tc>
      </w:tr>
      <w:tr>
        <w:tc>
          <w:tcPr>
            <w:tcW w:type="dxa" w:w="3248"/>
            <w:vAlign w:val="top"/>
          </w:tcPr>
          <w:p>
            <w:r>
              <w:rPr>
                <w:rFonts w:ascii="Times New Roman" w:hAnsi="Times New Roman"/>
                <w:sz w:val="18"/>
              </w:rPr>
              <w:t>Schlussverzeichnis mit gerichtlicher Tabelle abgleichen</w:t>
            </w:r>
          </w:p>
        </w:tc>
        <w:tc>
          <w:tcPr>
            <w:tcW w:type="dxa" w:w="3248"/>
            <w:vAlign w:val="top"/>
          </w:tcPr>
          <w:p>
            <w:r>
              <w:rPr>
                <w:rFonts w:ascii="Times New Roman" w:hAnsi="Times New Roman"/>
                <w:sz w:val="18"/>
              </w:rPr>
              <w:t>Sachbearbeitung</w:t>
            </w:r>
          </w:p>
        </w:tc>
        <w:tc>
          <w:tcPr>
            <w:tcW w:type="dxa" w:w="3248"/>
            <w:vAlign w:val="top"/>
          </w:tcPr>
          <w:p>
            <w:r>
              <w:rPr>
                <w:rFonts w:ascii="Times New Roman" w:hAnsi="Times New Roman"/>
                <w:sz w:val="18"/>
              </w:rPr>
              <w:t>Sperrt Quote</w:t>
            </w:r>
          </w:p>
        </w:tc>
      </w:tr>
      <w:tr>
        <w:tc>
          <w:tcPr>
            <w:tcW w:type="dxa" w:w="3248"/>
            <w:vAlign w:val="top"/>
          </w:tcPr>
          <w:p>
            <w:r>
              <w:rPr>
                <w:rFonts w:ascii="Times New Roman" w:hAnsi="Times New Roman"/>
                <w:sz w:val="18"/>
              </w:rPr>
              <w:t>Schlussbericht, Schlussrechnung und Verzeichnis gemeinsam freigeben</w:t>
            </w:r>
          </w:p>
        </w:tc>
        <w:tc>
          <w:tcPr>
            <w:tcW w:type="dxa" w:w="3248"/>
            <w:vAlign w:val="top"/>
          </w:tcPr>
          <w:p>
            <w:r>
              <w:rPr>
                <w:rFonts w:ascii="Times New Roman" w:hAnsi="Times New Roman"/>
                <w:sz w:val="18"/>
              </w:rPr>
              <w:t>Dr. Hartmann</w:t>
            </w:r>
          </w:p>
        </w:tc>
        <w:tc>
          <w:tcPr>
            <w:tcW w:type="dxa" w:w="3248"/>
            <w:vAlign w:val="top"/>
          </w:tcPr>
          <w:p>
            <w:r>
              <w:rPr>
                <w:rFonts w:ascii="Times New Roman" w:hAnsi="Times New Roman"/>
                <w:sz w:val="18"/>
              </w:rPr>
              <w:t>Sperrt Einreichung</w:t>
            </w:r>
          </w:p>
        </w:tc>
      </w:tr>
    </w:tbl>
    <w:p/>
    <w:p>
      <w:pPr>
        <w:pStyle w:val="Heading1"/>
      </w:pPr>
      <w:r>
        <w:t>6. Ausblick</w:t>
      </w:r>
    </w:p>
    <w:p>
      <w:pPr>
        <w:spacing w:after="120"/>
      </w:pPr>
      <w:r>
        <w:t>Nach Erledigung der vier Kontrollen soll der Schlussbericht im März 2024 eingereicht werden. Eine Auszahlung wird erst nach gerichtlicher Zustimmung zur Schlussverteilung, Behandlung der fristgebundenen Nachweise und gesonderter menschlicher Zahlungsfreigabe vorbereitet.</w:t>
      </w:r>
    </w:p>
    <w:p>
      <w:pPr>
        <w:spacing w:after="120"/>
      </w:pPr>
      <w:r>
        <w:t>Dr. Jens-Peter Hartmann</w:t>
        <w:br/>
        <w:t>Rechtsanwalt und Insolvenzverwalter</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Zwischenbericht</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