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Verfahrensübersicht und Fassungsregister</w:t>
      </w:r>
    </w:p>
    <w:p>
      <w:pPr>
        <w:pStyle w:val="Subtitle"/>
      </w:pPr>
      <w:r>
        <w:t>Nordlicht Handels GmbH | Amtsgericht Kiel | 10 IN 127/13 | Stand 20. Oktober 2024</w:t>
      </w:r>
    </w:p>
    <w:p>
      <w:r>
        <w:rPr>
          <w:b/>
        </w:rPr>
        <w:t xml:space="preserve">Führungsregel. </w:t>
      </w:r>
      <w:r>
        <w:t>Diese Übersicht verbindet die zeitgebundenen Zwischenstände mit dem tatsächlich vollzogenen Abschluss. Für Betrag, Quote und Abschlussfolge führen die am 15. März 2024 freigegebene Schlussberichts- und Schlussrechnungsfassung, die gerichtliche Verfügung vom 22. März 2024, der Vollzugsnachweis vom 24. April 2024 und der Aufhebungsbeschluss vom 30. April 2024. Frühere Prognosen sind nur aus ihrem damaligen Stichtag heraus zu lesen.</w:t>
      </w:r>
    </w:p>
    <w:p>
      <w:pPr>
        <w:pStyle w:val="Heading1"/>
      </w:pPr>
      <w:r>
        <w:t>1. Verfahrenslauf</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E8F3F3"/>
          </w:tcPr>
          <w:p>
            <w:r>
              <w:rPr>
                <w:rFonts w:ascii="Times New Roman" w:hAnsi="Times New Roman"/>
                <w:b/>
                <w:sz w:val="20"/>
              </w:rPr>
              <w:t>Datum/Stichtag</w:t>
            </w:r>
          </w:p>
        </w:tc>
        <w:tc>
          <w:tcPr>
            <w:tcW w:type="dxa" w:w="7143"/>
            <w:shd w:fill="E8F3F3"/>
          </w:tcPr>
          <w:p>
            <w:r>
              <w:rPr>
                <w:rFonts w:ascii="Times New Roman" w:hAnsi="Times New Roman"/>
                <w:b/>
                <w:sz w:val="20"/>
              </w:rPr>
              <w:t>Ereignis und Bedeutung</w:t>
            </w:r>
          </w:p>
        </w:tc>
      </w:tr>
      <w:tr>
        <w:trPr>
          <w:cantSplit/>
        </w:trPr>
        <w:tc>
          <w:tcPr>
            <w:tcW w:type="dxa" w:w="2381"/>
            <w:vAlign w:val="top"/>
          </w:tcPr>
          <w:p>
            <w:pPr>
              <w:spacing w:after="40"/>
            </w:pPr>
            <w:r>
              <w:rPr>
                <w:rFonts w:ascii="Times New Roman" w:hAnsi="Times New Roman"/>
                <w:sz w:val="20"/>
              </w:rPr>
              <w:t>14.01.2013</w:t>
            </w:r>
          </w:p>
        </w:tc>
        <w:tc>
          <w:tcPr>
            <w:tcW w:type="dxa" w:w="7143"/>
            <w:vAlign w:val="top"/>
          </w:tcPr>
          <w:p>
            <w:pPr>
              <w:spacing w:after="40"/>
            </w:pPr>
            <w:r>
              <w:rPr>
                <w:rFonts w:ascii="Times New Roman" w:hAnsi="Times New Roman"/>
                <w:sz w:val="20"/>
              </w:rPr>
              <w:t>Eigenantrag wegen Zahlungsunfähigkeit und Überschuldung</w:t>
            </w:r>
          </w:p>
        </w:tc>
      </w:tr>
      <w:tr>
        <w:trPr>
          <w:cantSplit/>
        </w:trPr>
        <w:tc>
          <w:tcPr>
            <w:tcW w:type="dxa" w:w="2381"/>
            <w:vAlign w:val="top"/>
          </w:tcPr>
          <w:p>
            <w:pPr>
              <w:spacing w:after="40"/>
            </w:pPr>
            <w:r>
              <w:rPr>
                <w:rFonts w:ascii="Times New Roman" w:hAnsi="Times New Roman"/>
                <w:sz w:val="20"/>
              </w:rPr>
              <w:t>18.01.2013 bis 22.04.2013</w:t>
            </w:r>
          </w:p>
        </w:tc>
        <w:tc>
          <w:tcPr>
            <w:tcW w:type="dxa" w:w="7143"/>
            <w:vAlign w:val="top"/>
          </w:tcPr>
          <w:p>
            <w:pPr>
              <w:spacing w:after="40"/>
            </w:pPr>
            <w:r>
              <w:rPr>
                <w:rFonts w:ascii="Times New Roman" w:hAnsi="Times New Roman"/>
                <w:sz w:val="20"/>
              </w:rPr>
              <w:t>Gutachten, vorläufige Verwaltung und Sicherungsmaßnahmen; weitere Gläubigeranträge werden zum führenden Aktenzeichen verbunden</w:t>
            </w:r>
          </w:p>
        </w:tc>
      </w:tr>
      <w:tr>
        <w:trPr>
          <w:cantSplit/>
        </w:trPr>
        <w:tc>
          <w:tcPr>
            <w:tcW w:type="dxa" w:w="2381"/>
            <w:vAlign w:val="top"/>
          </w:tcPr>
          <w:p>
            <w:pPr>
              <w:spacing w:after="40"/>
            </w:pPr>
            <w:r>
              <w:rPr>
                <w:rFonts w:ascii="Times New Roman" w:hAnsi="Times New Roman"/>
                <w:sz w:val="20"/>
              </w:rPr>
              <w:t>01.06.2013</w:t>
            </w:r>
          </w:p>
        </w:tc>
        <w:tc>
          <w:tcPr>
            <w:tcW w:type="dxa" w:w="7143"/>
            <w:vAlign w:val="top"/>
          </w:tcPr>
          <w:p>
            <w:pPr>
              <w:spacing w:after="40"/>
            </w:pPr>
            <w:r>
              <w:rPr>
                <w:rFonts w:ascii="Times New Roman" w:hAnsi="Times New Roman"/>
                <w:sz w:val="20"/>
              </w:rPr>
              <w:t>Eröffnung und Bestellung von Dr. Jens-Peter Hartmann zum Insolvenzverwalter</w:t>
            </w:r>
          </w:p>
        </w:tc>
      </w:tr>
      <w:tr>
        <w:trPr>
          <w:cantSplit/>
        </w:trPr>
        <w:tc>
          <w:tcPr>
            <w:tcW w:type="dxa" w:w="2381"/>
            <w:vAlign w:val="top"/>
          </w:tcPr>
          <w:p>
            <w:pPr>
              <w:spacing w:after="40"/>
            </w:pPr>
            <w:r>
              <w:rPr>
                <w:rFonts w:ascii="Times New Roman" w:hAnsi="Times New Roman"/>
                <w:sz w:val="20"/>
              </w:rPr>
              <w:t>31.08.2013</w:t>
            </w:r>
          </w:p>
        </w:tc>
        <w:tc>
          <w:tcPr>
            <w:tcW w:type="dxa" w:w="7143"/>
            <w:vAlign w:val="top"/>
          </w:tcPr>
          <w:p>
            <w:pPr>
              <w:spacing w:after="40"/>
            </w:pPr>
            <w:r>
              <w:rPr>
                <w:rFonts w:ascii="Times New Roman" w:hAnsi="Times New Roman"/>
                <w:sz w:val="20"/>
              </w:rPr>
              <w:t>Ende des Räumungsverkaufs und Stilllegung des Geschäftsbetriebs</w:t>
            </w:r>
          </w:p>
        </w:tc>
      </w:tr>
      <w:tr>
        <w:trPr>
          <w:cantSplit/>
        </w:trPr>
        <w:tc>
          <w:tcPr>
            <w:tcW w:type="dxa" w:w="2381"/>
            <w:vAlign w:val="top"/>
          </w:tcPr>
          <w:p>
            <w:pPr>
              <w:spacing w:after="40"/>
            </w:pPr>
            <w:r>
              <w:rPr>
                <w:rFonts w:ascii="Times New Roman" w:hAnsi="Times New Roman"/>
                <w:sz w:val="20"/>
              </w:rPr>
              <w:t>2014 bis 2023</w:t>
            </w:r>
          </w:p>
        </w:tc>
        <w:tc>
          <w:tcPr>
            <w:tcW w:type="dxa" w:w="7143"/>
            <w:vAlign w:val="top"/>
          </w:tcPr>
          <w:p>
            <w:pPr>
              <w:spacing w:after="40"/>
            </w:pPr>
            <w:r>
              <w:rPr>
                <w:rFonts w:ascii="Times New Roman" w:hAnsi="Times New Roman"/>
                <w:sz w:val="20"/>
              </w:rPr>
              <w:t>Verwertung, Forderungseinzug, Anfechtungs- und Haftungsvergleiche, steuerliche Außenprüfung sowie turnusmäßige Berichterstattung</w:t>
            </w:r>
          </w:p>
        </w:tc>
      </w:tr>
      <w:tr>
        <w:trPr>
          <w:cantSplit/>
        </w:trPr>
        <w:tc>
          <w:tcPr>
            <w:tcW w:type="dxa" w:w="2381"/>
            <w:vAlign w:val="top"/>
          </w:tcPr>
          <w:p>
            <w:pPr>
              <w:spacing w:after="40"/>
            </w:pPr>
            <w:r>
              <w:rPr>
                <w:rFonts w:ascii="Times New Roman" w:hAnsi="Times New Roman"/>
                <w:sz w:val="20"/>
              </w:rPr>
              <w:t>28.06.2023</w:t>
            </w:r>
          </w:p>
        </w:tc>
        <w:tc>
          <w:tcPr>
            <w:tcW w:type="dxa" w:w="7143"/>
            <w:vAlign w:val="top"/>
          </w:tcPr>
          <w:p>
            <w:pPr>
              <w:spacing w:after="40"/>
            </w:pPr>
            <w:r>
              <w:rPr>
                <w:rFonts w:ascii="Times New Roman" w:hAnsi="Times New Roman"/>
                <w:sz w:val="20"/>
              </w:rPr>
              <w:t>Steuererstattung von 18.420,00 EUR fließt während des laufenden Verfahrens zu und gehört in die reguläre Schlussrechnung</w:t>
            </w:r>
          </w:p>
        </w:tc>
      </w:tr>
      <w:tr>
        <w:trPr>
          <w:cantSplit/>
        </w:trPr>
        <w:tc>
          <w:tcPr>
            <w:tcW w:type="dxa" w:w="2381"/>
            <w:vAlign w:val="top"/>
          </w:tcPr>
          <w:p>
            <w:pPr>
              <w:spacing w:after="40"/>
            </w:pPr>
            <w:r>
              <w:rPr>
                <w:rFonts w:ascii="Times New Roman" w:hAnsi="Times New Roman"/>
                <w:sz w:val="20"/>
              </w:rPr>
              <w:t>31.12.2023</w:t>
            </w:r>
          </w:p>
        </w:tc>
        <w:tc>
          <w:tcPr>
            <w:tcW w:type="dxa" w:w="7143"/>
            <w:vAlign w:val="top"/>
          </w:tcPr>
          <w:p>
            <w:pPr>
              <w:spacing w:after="40"/>
            </w:pPr>
            <w:r>
              <w:rPr>
                <w:rFonts w:ascii="Times New Roman" w:hAnsi="Times New Roman"/>
                <w:sz w:val="20"/>
              </w:rPr>
              <w:t>Stichtag des 14. Zwischenberichts; Schlussrechnung, Restvergütung, Schlussverzeichnis und gemeinsame Freigabe bleiben offen</w:t>
            </w:r>
          </w:p>
        </w:tc>
      </w:tr>
      <w:tr>
        <w:trPr>
          <w:cantSplit/>
        </w:trPr>
        <w:tc>
          <w:tcPr>
            <w:tcW w:type="dxa" w:w="2381"/>
            <w:vAlign w:val="top"/>
          </w:tcPr>
          <w:p>
            <w:pPr>
              <w:spacing w:after="40"/>
            </w:pPr>
            <w:r>
              <w:rPr>
                <w:rFonts w:ascii="Times New Roman" w:hAnsi="Times New Roman"/>
                <w:sz w:val="20"/>
              </w:rPr>
              <w:t>15.03.2024</w:t>
            </w:r>
          </w:p>
        </w:tc>
        <w:tc>
          <w:tcPr>
            <w:tcW w:type="dxa" w:w="7143"/>
            <w:vAlign w:val="top"/>
          </w:tcPr>
          <w:p>
            <w:pPr>
              <w:spacing w:after="40"/>
            </w:pPr>
            <w:r>
              <w:rPr>
                <w:rFonts w:ascii="Times New Roman" w:hAnsi="Times New Roman"/>
                <w:sz w:val="20"/>
              </w:rPr>
              <w:t>Führender Schlussbericht, Schlussrechnung und Schlussverzeichnis mit 120.462,00 EUR Teilungsmasse</w:t>
            </w:r>
          </w:p>
        </w:tc>
      </w:tr>
      <w:tr>
        <w:trPr>
          <w:cantSplit/>
        </w:trPr>
        <w:tc>
          <w:tcPr>
            <w:tcW w:type="dxa" w:w="2381"/>
            <w:vAlign w:val="top"/>
          </w:tcPr>
          <w:p>
            <w:pPr>
              <w:spacing w:after="40"/>
            </w:pPr>
            <w:r>
              <w:rPr>
                <w:rFonts w:ascii="Times New Roman" w:hAnsi="Times New Roman"/>
                <w:sz w:val="20"/>
              </w:rPr>
              <w:t>18.03.2024</w:t>
            </w:r>
          </w:p>
        </w:tc>
        <w:tc>
          <w:tcPr>
            <w:tcW w:type="dxa" w:w="7143"/>
            <w:vAlign w:val="top"/>
          </w:tcPr>
          <w:p>
            <w:pPr>
              <w:spacing w:after="40"/>
            </w:pPr>
            <w:r>
              <w:rPr>
                <w:rFonts w:ascii="Times New Roman" w:hAnsi="Times New Roman"/>
                <w:sz w:val="20"/>
              </w:rPr>
              <w:t>Interne Einreichungsfreigabe; ausdrücklich noch keine Zahlungsfreigabe</w:t>
            </w:r>
          </w:p>
        </w:tc>
      </w:tr>
      <w:tr>
        <w:trPr>
          <w:cantSplit/>
        </w:trPr>
        <w:tc>
          <w:tcPr>
            <w:tcW w:type="dxa" w:w="2381"/>
            <w:vAlign w:val="top"/>
          </w:tcPr>
          <w:p>
            <w:pPr>
              <w:spacing w:after="40"/>
            </w:pPr>
            <w:r>
              <w:rPr>
                <w:rFonts w:ascii="Times New Roman" w:hAnsi="Times New Roman"/>
                <w:sz w:val="20"/>
              </w:rPr>
              <w:t>22.03.2024</w:t>
            </w:r>
          </w:p>
        </w:tc>
        <w:tc>
          <w:tcPr>
            <w:tcW w:type="dxa" w:w="7143"/>
            <w:vAlign w:val="top"/>
          </w:tcPr>
          <w:p>
            <w:pPr>
              <w:spacing w:after="40"/>
            </w:pPr>
            <w:r>
              <w:rPr>
                <w:rFonts w:ascii="Times New Roman" w:hAnsi="Times New Roman"/>
                <w:sz w:val="20"/>
              </w:rPr>
              <w:t>Gerichtliche Zustimmung zur vorbereiteten Schlussverteilung und Bestimmung des Schlusstermins</w:t>
            </w:r>
          </w:p>
        </w:tc>
      </w:tr>
      <w:tr>
        <w:trPr>
          <w:cantSplit/>
        </w:trPr>
        <w:tc>
          <w:tcPr>
            <w:tcW w:type="dxa" w:w="2381"/>
            <w:vAlign w:val="top"/>
          </w:tcPr>
          <w:p>
            <w:pPr>
              <w:spacing w:after="40"/>
            </w:pPr>
            <w:r>
              <w:rPr>
                <w:rFonts w:ascii="Times New Roman" w:hAnsi="Times New Roman"/>
                <w:sz w:val="20"/>
              </w:rPr>
              <w:t>22.04.2024</w:t>
            </w:r>
          </w:p>
        </w:tc>
        <w:tc>
          <w:tcPr>
            <w:tcW w:type="dxa" w:w="7143"/>
            <w:vAlign w:val="top"/>
          </w:tcPr>
          <w:p>
            <w:pPr>
              <w:spacing w:after="40"/>
            </w:pPr>
            <w:r>
              <w:rPr>
                <w:rFonts w:ascii="Times New Roman" w:hAnsi="Times New Roman"/>
                <w:sz w:val="20"/>
              </w:rPr>
              <w:t>Namentlich freigegebener Zahlungslauf über 120.462,00 EUR</w:t>
            </w:r>
          </w:p>
        </w:tc>
      </w:tr>
      <w:tr>
        <w:trPr>
          <w:cantSplit/>
        </w:trPr>
        <w:tc>
          <w:tcPr>
            <w:tcW w:type="dxa" w:w="2381"/>
            <w:vAlign w:val="top"/>
          </w:tcPr>
          <w:p>
            <w:pPr>
              <w:spacing w:after="40"/>
            </w:pPr>
            <w:r>
              <w:rPr>
                <w:rFonts w:ascii="Times New Roman" w:hAnsi="Times New Roman"/>
                <w:sz w:val="20"/>
              </w:rPr>
              <w:t>24.04.2024</w:t>
            </w:r>
          </w:p>
        </w:tc>
        <w:tc>
          <w:tcPr>
            <w:tcW w:type="dxa" w:w="7143"/>
            <w:vAlign w:val="top"/>
          </w:tcPr>
          <w:p>
            <w:pPr>
              <w:spacing w:after="40"/>
            </w:pPr>
            <w:r>
              <w:rPr>
                <w:rFonts w:ascii="Times New Roman" w:hAnsi="Times New Roman"/>
                <w:sz w:val="20"/>
              </w:rPr>
              <w:t>Bank- und Rückläuferkontrolle; Schlussmitteilung mit Vollzugsnachweis</w:t>
            </w:r>
          </w:p>
        </w:tc>
      </w:tr>
      <w:tr>
        <w:trPr>
          <w:cantSplit/>
        </w:trPr>
        <w:tc>
          <w:tcPr>
            <w:tcW w:type="dxa" w:w="2381"/>
            <w:vAlign w:val="top"/>
          </w:tcPr>
          <w:p>
            <w:pPr>
              <w:spacing w:after="40"/>
            </w:pPr>
            <w:r>
              <w:rPr>
                <w:rFonts w:ascii="Times New Roman" w:hAnsi="Times New Roman"/>
                <w:sz w:val="20"/>
              </w:rPr>
              <w:t>30.04.2024</w:t>
            </w:r>
          </w:p>
        </w:tc>
        <w:tc>
          <w:tcPr>
            <w:tcW w:type="dxa" w:w="7143"/>
            <w:vAlign w:val="top"/>
          </w:tcPr>
          <w:p>
            <w:pPr>
              <w:spacing w:after="40"/>
            </w:pPr>
            <w:r>
              <w:rPr>
                <w:rFonts w:ascii="Times New Roman" w:hAnsi="Times New Roman"/>
                <w:sz w:val="20"/>
              </w:rPr>
              <w:t>Aufhebung nach vollzogener Schlussverteilung gemäß § 200 Absatz 1 InsO</w:t>
            </w:r>
          </w:p>
        </w:tc>
      </w:tr>
      <w:tr>
        <w:trPr>
          <w:cantSplit/>
        </w:trPr>
        <w:tc>
          <w:tcPr>
            <w:tcW w:type="dxa" w:w="2381"/>
            <w:vAlign w:val="top"/>
          </w:tcPr>
          <w:p>
            <w:pPr>
              <w:spacing w:after="40"/>
            </w:pPr>
            <w:r>
              <w:rPr>
                <w:rFonts w:ascii="Times New Roman" w:hAnsi="Times New Roman"/>
                <w:sz w:val="20"/>
              </w:rPr>
              <w:t>12./20.10.2024</w:t>
            </w:r>
          </w:p>
        </w:tc>
        <w:tc>
          <w:tcPr>
            <w:tcW w:type="dxa" w:w="7143"/>
            <w:vAlign w:val="top"/>
          </w:tcPr>
          <w:p>
            <w:pPr>
              <w:spacing w:after="40"/>
            </w:pPr>
            <w:r>
              <w:rPr>
                <w:rFonts w:ascii="Times New Roman" w:hAnsi="Times New Roman"/>
                <w:sz w:val="20"/>
              </w:rPr>
              <w:t>Später Steuerzins von 3.180,00 EUR; gesonderte Prüfung einer Nachtragsverteilung, keine rückwirkende Änderung der Schlussquote</w:t>
            </w:r>
          </w:p>
        </w:tc>
      </w:tr>
    </w:tbl>
    <w:p/>
    <w:p>
      <w:pPr>
        <w:pStyle w:val="Heading1"/>
      </w:pPr>
      <w:r>
        <w:t>2. Führende Fassungen und historische Arbeitsstände</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061"/>
            <w:shd w:fill="E8F3F3"/>
          </w:tcPr>
          <w:p>
            <w:r>
              <w:rPr>
                <w:rFonts w:ascii="Times New Roman" w:hAnsi="Times New Roman"/>
                <w:b/>
                <w:sz w:val="20"/>
              </w:rPr>
              <w:t>Datei</w:t>
            </w:r>
          </w:p>
        </w:tc>
        <w:tc>
          <w:tcPr>
            <w:tcW w:type="dxa" w:w="1928"/>
            <w:shd w:fill="E8F3F3"/>
          </w:tcPr>
          <w:p>
            <w:r>
              <w:rPr>
                <w:rFonts w:ascii="Times New Roman" w:hAnsi="Times New Roman"/>
                <w:b/>
                <w:sz w:val="20"/>
              </w:rPr>
              <w:t>Status</w:t>
            </w:r>
          </w:p>
        </w:tc>
        <w:tc>
          <w:tcPr>
            <w:tcW w:type="dxa" w:w="4535"/>
            <w:shd w:fill="E8F3F3"/>
          </w:tcPr>
          <w:p>
            <w:r>
              <w:rPr>
                <w:rFonts w:ascii="Times New Roman" w:hAnsi="Times New Roman"/>
                <w:b/>
                <w:sz w:val="20"/>
              </w:rPr>
              <w:t>Reichweite</w:t>
            </w:r>
          </w:p>
        </w:tc>
      </w:tr>
      <w:tr>
        <w:trPr>
          <w:cantSplit/>
        </w:trPr>
        <w:tc>
          <w:tcPr>
            <w:tcW w:type="dxa" w:w="3061"/>
            <w:vAlign w:val="top"/>
          </w:tcPr>
          <w:p>
            <w:pPr>
              <w:spacing w:after="40"/>
            </w:pPr>
            <w:r>
              <w:rPr>
                <w:rFonts w:ascii="Times New Roman" w:hAnsi="Times New Roman"/>
                <w:sz w:val="20"/>
              </w:rPr>
              <w:t>27_zwischenbericht_nr_14_31-12-2023.docx</w:t>
            </w:r>
          </w:p>
        </w:tc>
        <w:tc>
          <w:tcPr>
            <w:tcW w:type="dxa" w:w="1928"/>
            <w:vAlign w:val="top"/>
          </w:tcPr>
          <w:p>
            <w:pPr>
              <w:spacing w:after="40"/>
            </w:pPr>
            <w:r>
              <w:rPr>
                <w:rFonts w:ascii="Times New Roman" w:hAnsi="Times New Roman"/>
                <w:sz w:val="20"/>
              </w:rPr>
              <w:t>Zwischenstand</w:t>
            </w:r>
          </w:p>
        </w:tc>
        <w:tc>
          <w:tcPr>
            <w:tcW w:type="dxa" w:w="4535"/>
            <w:vAlign w:val="top"/>
          </w:tcPr>
          <w:p>
            <w:pPr>
              <w:spacing w:after="40"/>
            </w:pPr>
            <w:r>
              <w:rPr>
                <w:rFonts w:ascii="Times New Roman" w:hAnsi="Times New Roman"/>
                <w:sz w:val="20"/>
              </w:rPr>
              <w:t>Führt nur für den Stand 31.12.2023; enthält offene Abschlussgates und noch keine Vollzugsaussage.</w:t>
            </w:r>
          </w:p>
        </w:tc>
      </w:tr>
      <w:tr>
        <w:trPr>
          <w:cantSplit/>
        </w:trPr>
        <w:tc>
          <w:tcPr>
            <w:tcW w:type="dxa" w:w="3061"/>
            <w:vAlign w:val="top"/>
          </w:tcPr>
          <w:p>
            <w:pPr>
              <w:spacing w:after="40"/>
            </w:pPr>
            <w:r>
              <w:rPr>
                <w:rFonts w:ascii="Times New Roman" w:hAnsi="Times New Roman"/>
                <w:sz w:val="20"/>
              </w:rPr>
              <w:t>05_Schlussbericht_15-03-2024.docx und 24_schlussbericht.docx</w:t>
            </w:r>
          </w:p>
        </w:tc>
        <w:tc>
          <w:tcPr>
            <w:tcW w:type="dxa" w:w="1928"/>
            <w:vAlign w:val="top"/>
          </w:tcPr>
          <w:p>
            <w:pPr>
              <w:spacing w:after="40"/>
            </w:pPr>
            <w:r>
              <w:rPr>
                <w:rFonts w:ascii="Times New Roman" w:hAnsi="Times New Roman"/>
                <w:sz w:val="20"/>
              </w:rPr>
              <w:t>Führender Schlussbericht</w:t>
            </w:r>
          </w:p>
        </w:tc>
        <w:tc>
          <w:tcPr>
            <w:tcW w:type="dxa" w:w="4535"/>
            <w:vAlign w:val="top"/>
          </w:tcPr>
          <w:p>
            <w:pPr>
              <w:spacing w:after="40"/>
            </w:pPr>
            <w:r>
              <w:rPr>
                <w:rFonts w:ascii="Times New Roman" w:hAnsi="Times New Roman"/>
                <w:sz w:val="20"/>
              </w:rPr>
              <w:t>Inhaltsgleiche Abschlussfassung; Beträge, Forderungsbasis und Quote sind mit der Kontrollarbeitsmappe abgestimmt.</w:t>
            </w:r>
          </w:p>
        </w:tc>
      </w:tr>
      <w:tr>
        <w:trPr>
          <w:cantSplit/>
        </w:trPr>
        <w:tc>
          <w:tcPr>
            <w:tcW w:type="dxa" w:w="3061"/>
            <w:vAlign w:val="top"/>
          </w:tcPr>
          <w:p>
            <w:pPr>
              <w:spacing w:after="40"/>
            </w:pPr>
            <w:r>
              <w:rPr>
                <w:rFonts w:ascii="Times New Roman" w:hAnsi="Times New Roman"/>
                <w:sz w:val="20"/>
              </w:rPr>
              <w:t>28_schlussrechnung_kontenabstimmung_15-03-2024.xlsx</w:t>
            </w:r>
          </w:p>
        </w:tc>
        <w:tc>
          <w:tcPr>
            <w:tcW w:type="dxa" w:w="1928"/>
            <w:vAlign w:val="top"/>
          </w:tcPr>
          <w:p>
            <w:pPr>
              <w:spacing w:after="40"/>
            </w:pPr>
            <w:r>
              <w:rPr>
                <w:rFonts w:ascii="Times New Roman" w:hAnsi="Times New Roman"/>
                <w:sz w:val="20"/>
              </w:rPr>
              <w:t>Führende Rechenkontrolle</w:t>
            </w:r>
          </w:p>
        </w:tc>
        <w:tc>
          <w:tcPr>
            <w:tcW w:type="dxa" w:w="4535"/>
            <w:vAlign w:val="top"/>
          </w:tcPr>
          <w:p>
            <w:pPr>
              <w:spacing w:after="40"/>
            </w:pPr>
            <w:r>
              <w:rPr>
                <w:rFonts w:ascii="Times New Roman" w:hAnsi="Times New Roman"/>
                <w:sz w:val="20"/>
              </w:rPr>
              <w:t>Führt für Kontenabstimmung, Forderungsbasis, Quote, Centausgleich und Auszahlungsbeträge.</w:t>
            </w:r>
          </w:p>
        </w:tc>
      </w:tr>
      <w:tr>
        <w:trPr>
          <w:cantSplit/>
        </w:trPr>
        <w:tc>
          <w:tcPr>
            <w:tcW w:type="dxa" w:w="3061"/>
            <w:vAlign w:val="top"/>
          </w:tcPr>
          <w:p>
            <w:pPr>
              <w:spacing w:after="40"/>
            </w:pPr>
            <w:r>
              <w:rPr>
                <w:rFonts w:ascii="Times New Roman" w:hAnsi="Times New Roman"/>
                <w:sz w:val="20"/>
              </w:rPr>
              <w:t>29_freigabevermerk_abschluss_18-03-2024.docx</w:t>
            </w:r>
          </w:p>
        </w:tc>
        <w:tc>
          <w:tcPr>
            <w:tcW w:type="dxa" w:w="1928"/>
            <w:vAlign w:val="top"/>
          </w:tcPr>
          <w:p>
            <w:pPr>
              <w:spacing w:after="40"/>
            </w:pPr>
            <w:r>
              <w:rPr>
                <w:rFonts w:ascii="Times New Roman" w:hAnsi="Times New Roman"/>
                <w:sz w:val="20"/>
              </w:rPr>
              <w:t>Einreichungsfreigabe</w:t>
            </w:r>
          </w:p>
        </w:tc>
        <w:tc>
          <w:tcPr>
            <w:tcW w:type="dxa" w:w="4535"/>
            <w:vAlign w:val="top"/>
          </w:tcPr>
          <w:p>
            <w:pPr>
              <w:spacing w:after="40"/>
            </w:pPr>
            <w:r>
              <w:rPr>
                <w:rFonts w:ascii="Times New Roman" w:hAnsi="Times New Roman"/>
                <w:sz w:val="20"/>
              </w:rPr>
              <w:t>Belegt die Vier-Augen-Prüfung; ersetzt weder gerichtliche Zustimmung noch Zahlungsfreigabe.</w:t>
            </w:r>
          </w:p>
        </w:tc>
      </w:tr>
      <w:tr>
        <w:trPr>
          <w:cantSplit/>
        </w:trPr>
        <w:tc>
          <w:tcPr>
            <w:tcW w:type="dxa" w:w="3061"/>
            <w:vAlign w:val="top"/>
          </w:tcPr>
          <w:p>
            <w:pPr>
              <w:spacing w:after="40"/>
            </w:pPr>
            <w:r>
              <w:rPr>
                <w:rFonts w:ascii="Times New Roman" w:hAnsi="Times New Roman"/>
                <w:sz w:val="20"/>
              </w:rPr>
              <w:t>30_verfuegung_schlussverteilung_22-03-2024.docx</w:t>
            </w:r>
          </w:p>
        </w:tc>
        <w:tc>
          <w:tcPr>
            <w:tcW w:type="dxa" w:w="1928"/>
            <w:vAlign w:val="top"/>
          </w:tcPr>
          <w:p>
            <w:pPr>
              <w:spacing w:after="40"/>
            </w:pPr>
            <w:r>
              <w:rPr>
                <w:rFonts w:ascii="Times New Roman" w:hAnsi="Times New Roman"/>
                <w:sz w:val="20"/>
              </w:rPr>
              <w:t>Gerichtlicher Schritt</w:t>
            </w:r>
          </w:p>
        </w:tc>
        <w:tc>
          <w:tcPr>
            <w:tcW w:type="dxa" w:w="4535"/>
            <w:vAlign w:val="top"/>
          </w:tcPr>
          <w:p>
            <w:pPr>
              <w:spacing w:after="40"/>
            </w:pPr>
            <w:r>
              <w:rPr>
                <w:rFonts w:ascii="Times New Roman" w:hAnsi="Times New Roman"/>
                <w:sz w:val="20"/>
              </w:rPr>
              <w:t>Belegt die Zustimmung und den Schlusstermin; noch kein Vollzugsnachweis.</w:t>
            </w:r>
          </w:p>
        </w:tc>
      </w:tr>
      <w:tr>
        <w:trPr>
          <w:cantSplit/>
        </w:trPr>
        <w:tc>
          <w:tcPr>
            <w:tcW w:type="dxa" w:w="3061"/>
            <w:vAlign w:val="top"/>
          </w:tcPr>
          <w:p>
            <w:pPr>
              <w:spacing w:after="40"/>
            </w:pPr>
            <w:r>
              <w:rPr>
                <w:rFonts w:ascii="Times New Roman" w:hAnsi="Times New Roman"/>
                <w:sz w:val="20"/>
              </w:rPr>
              <w:t>31_vollzugsprotokoll_schlussverteilung_24-04-2024.docx und 32_schlussmitteilung_24-04-2024.docx</w:t>
            </w:r>
          </w:p>
        </w:tc>
        <w:tc>
          <w:tcPr>
            <w:tcW w:type="dxa" w:w="1928"/>
            <w:vAlign w:val="top"/>
          </w:tcPr>
          <w:p>
            <w:pPr>
              <w:spacing w:after="40"/>
            </w:pPr>
            <w:r>
              <w:rPr>
                <w:rFonts w:ascii="Times New Roman" w:hAnsi="Times New Roman"/>
                <w:sz w:val="20"/>
              </w:rPr>
              <w:t>Führender Vollzugsstand</w:t>
            </w:r>
          </w:p>
        </w:tc>
        <w:tc>
          <w:tcPr>
            <w:tcW w:type="dxa" w:w="4535"/>
            <w:vAlign w:val="top"/>
          </w:tcPr>
          <w:p>
            <w:pPr>
              <w:spacing w:after="40"/>
            </w:pPr>
            <w:r>
              <w:rPr>
                <w:rFonts w:ascii="Times New Roman" w:hAnsi="Times New Roman"/>
                <w:sz w:val="20"/>
              </w:rPr>
              <w:t>Belegen Zahlung, Rückläuferkontrolle und Mitteilung an das Gericht.</w:t>
            </w:r>
          </w:p>
        </w:tc>
      </w:tr>
      <w:tr>
        <w:trPr>
          <w:cantSplit/>
        </w:trPr>
        <w:tc>
          <w:tcPr>
            <w:tcW w:type="dxa" w:w="3061"/>
            <w:vAlign w:val="top"/>
          </w:tcPr>
          <w:p>
            <w:pPr>
              <w:spacing w:after="40"/>
            </w:pPr>
            <w:r>
              <w:rPr>
                <w:rFonts w:ascii="Times New Roman" w:hAnsi="Times New Roman"/>
                <w:sz w:val="20"/>
              </w:rPr>
              <w:t>26_aufhebungsbeschluss.docx</w:t>
            </w:r>
          </w:p>
        </w:tc>
        <w:tc>
          <w:tcPr>
            <w:tcW w:type="dxa" w:w="1928"/>
            <w:vAlign w:val="top"/>
          </w:tcPr>
          <w:p>
            <w:pPr>
              <w:spacing w:after="40"/>
            </w:pPr>
            <w:r>
              <w:rPr>
                <w:rFonts w:ascii="Times New Roman" w:hAnsi="Times New Roman"/>
                <w:sz w:val="20"/>
              </w:rPr>
              <w:t>Führender Abschlussstand</w:t>
            </w:r>
          </w:p>
        </w:tc>
        <w:tc>
          <w:tcPr>
            <w:tcW w:type="dxa" w:w="4535"/>
            <w:vAlign w:val="top"/>
          </w:tcPr>
          <w:p>
            <w:pPr>
              <w:spacing w:after="40"/>
            </w:pPr>
            <w:r>
              <w:rPr>
                <w:rFonts w:ascii="Times New Roman" w:hAnsi="Times New Roman"/>
                <w:sz w:val="20"/>
              </w:rPr>
              <w:t>Aufhebung am 30.04.2024 nach belegtem Vollzug.</w:t>
            </w:r>
          </w:p>
        </w:tc>
      </w:tr>
      <w:tr>
        <w:trPr>
          <w:cantSplit/>
        </w:trPr>
        <w:tc>
          <w:tcPr>
            <w:tcW w:type="dxa" w:w="3061"/>
            <w:vAlign w:val="top"/>
          </w:tcPr>
          <w:p>
            <w:pPr>
              <w:spacing w:after="40"/>
            </w:pPr>
            <w:r>
              <w:rPr>
                <w:rFonts w:ascii="Times New Roman" w:hAnsi="Times New Roman"/>
                <w:sz w:val="20"/>
              </w:rPr>
              <w:t>33_nachtragsverteilung_steuerzins_20-10-2024.docx</w:t>
            </w:r>
          </w:p>
        </w:tc>
        <w:tc>
          <w:tcPr>
            <w:tcW w:type="dxa" w:w="1928"/>
            <w:vAlign w:val="top"/>
          </w:tcPr>
          <w:p>
            <w:pPr>
              <w:spacing w:after="40"/>
            </w:pPr>
            <w:r>
              <w:rPr>
                <w:rFonts w:ascii="Times New Roman" w:hAnsi="Times New Roman"/>
                <w:sz w:val="20"/>
              </w:rPr>
              <w:t>Später Sondervorgang</w:t>
            </w:r>
          </w:p>
        </w:tc>
        <w:tc>
          <w:tcPr>
            <w:tcW w:type="dxa" w:w="4535"/>
            <w:vAlign w:val="top"/>
          </w:tcPr>
          <w:p>
            <w:pPr>
              <w:spacing w:after="40"/>
            </w:pPr>
            <w:r>
              <w:rPr>
                <w:rFonts w:ascii="Times New Roman" w:hAnsi="Times New Roman"/>
                <w:sz w:val="20"/>
              </w:rPr>
              <w:t>Eigenständige Prüfung des nach Aufhebung zugeflossenen Steuerzinses; keine Änderung des historischen Schlussverteilungsvollzugs.</w:t>
            </w:r>
          </w:p>
        </w:tc>
      </w:tr>
    </w:tbl>
    <w:p/>
    <w:p>
      <w:r>
        <w:rPr>
          <w:b/>
        </w:rPr>
        <w:t xml:space="preserve">Überholte Prognosen. </w:t>
      </w:r>
      <w:r>
        <w:t>Frühere Arbeitsübersichten nannten zeitweise Quoten von rund 14 Prozent oder 20,18 Prozent. Diese Werte beruhten auf vorläufigen Kosten-, Masse- und Forderungsständen. Sie sind keine Abschlusswerte und werden in der aktuellen Aktenfassung nicht als führende Rechenbasis verwendet. Die frühere monolithische Berichtssammlung ist deshalb aus dem aktuellen Arbeits- und Releasepaket entfernt; ihre verfahrensgeschichtlichen Aussagen bleiben durch die datierten Einzelstücke und diese Chronologie nachvollziehbar.</w:t>
      </w:r>
    </w:p>
    <w:p>
      <w:pPr>
        <w:pStyle w:val="Heading1"/>
      </w:pPr>
      <w:r>
        <w:t>3. Abgestimmte Abschlussrechnung</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3458"/>
            <w:shd w:fill="E8F3F3"/>
          </w:tcPr>
          <w:p>
            <w:r>
              <w:rPr>
                <w:rFonts w:ascii="Times New Roman" w:hAnsi="Times New Roman"/>
                <w:b/>
                <w:sz w:val="20"/>
              </w:rPr>
              <w:t>Kontrollgröße</w:t>
            </w:r>
          </w:p>
        </w:tc>
        <w:tc>
          <w:tcPr>
            <w:tcW w:type="dxa" w:w="2438"/>
            <w:shd w:fill="E8F3F3"/>
          </w:tcPr>
          <w:p>
            <w:r>
              <w:rPr>
                <w:rFonts w:ascii="Times New Roman" w:hAnsi="Times New Roman"/>
                <w:b/>
                <w:sz w:val="20"/>
              </w:rPr>
              <w:t>Betrag/Wert</w:t>
            </w:r>
          </w:p>
        </w:tc>
        <w:tc>
          <w:tcPr>
            <w:tcW w:type="dxa" w:w="3628"/>
            <w:shd w:fill="E8F3F3"/>
          </w:tcPr>
          <w:p>
            <w:r>
              <w:rPr>
                <w:rFonts w:ascii="Times New Roman" w:hAnsi="Times New Roman"/>
                <w:b/>
                <w:sz w:val="20"/>
              </w:rPr>
              <w:t>Belegpfad</w:t>
            </w:r>
          </w:p>
        </w:tc>
      </w:tr>
      <w:tr>
        <w:trPr>
          <w:cantSplit/>
        </w:trPr>
        <w:tc>
          <w:tcPr>
            <w:tcW w:type="dxa" w:w="3458"/>
            <w:vAlign w:val="top"/>
          </w:tcPr>
          <w:p>
            <w:pPr>
              <w:spacing w:after="40"/>
            </w:pPr>
            <w:r>
              <w:rPr>
                <w:rFonts w:ascii="Times New Roman" w:hAnsi="Times New Roman"/>
                <w:sz w:val="20"/>
              </w:rPr>
              <w:t>Summe Einnahmen</w:t>
            </w:r>
          </w:p>
        </w:tc>
        <w:tc>
          <w:tcPr>
            <w:tcW w:type="dxa" w:w="2438"/>
            <w:vAlign w:val="top"/>
          </w:tcPr>
          <w:p>
            <w:pPr>
              <w:spacing w:after="40"/>
            </w:pPr>
            <w:r>
              <w:rPr>
                <w:rFonts w:ascii="Times New Roman" w:hAnsi="Times New Roman"/>
                <w:sz w:val="20"/>
              </w:rPr>
              <w:t>306.764,00 EUR</w:t>
            </w:r>
          </w:p>
        </w:tc>
        <w:tc>
          <w:tcPr>
            <w:tcW w:type="dxa" w:w="3628"/>
            <w:vAlign w:val="top"/>
          </w:tcPr>
          <w:p>
            <w:pPr>
              <w:spacing w:after="40"/>
            </w:pPr>
            <w:r>
              <w:rPr>
                <w:rFonts w:ascii="Times New Roman" w:hAnsi="Times New Roman"/>
                <w:sz w:val="20"/>
              </w:rPr>
              <w:t>Schlussbericht und Kontrollarbeitsmappe</w:t>
            </w:r>
          </w:p>
        </w:tc>
      </w:tr>
      <w:tr>
        <w:trPr>
          <w:cantSplit/>
        </w:trPr>
        <w:tc>
          <w:tcPr>
            <w:tcW w:type="dxa" w:w="3458"/>
            <w:vAlign w:val="top"/>
          </w:tcPr>
          <w:p>
            <w:pPr>
              <w:spacing w:after="40"/>
            </w:pPr>
            <w:r>
              <w:rPr>
                <w:rFonts w:ascii="Times New Roman" w:hAnsi="Times New Roman"/>
                <w:sz w:val="20"/>
              </w:rPr>
              <w:t>Summe Ausgaben</w:t>
            </w:r>
          </w:p>
        </w:tc>
        <w:tc>
          <w:tcPr>
            <w:tcW w:type="dxa" w:w="2438"/>
            <w:vAlign w:val="top"/>
          </w:tcPr>
          <w:p>
            <w:pPr>
              <w:spacing w:after="40"/>
            </w:pPr>
            <w:r>
              <w:rPr>
                <w:rFonts w:ascii="Times New Roman" w:hAnsi="Times New Roman"/>
                <w:sz w:val="20"/>
              </w:rPr>
              <w:t>168.200,00 EUR</w:t>
            </w:r>
          </w:p>
        </w:tc>
        <w:tc>
          <w:tcPr>
            <w:tcW w:type="dxa" w:w="3628"/>
            <w:vAlign w:val="top"/>
          </w:tcPr>
          <w:p>
            <w:pPr>
              <w:spacing w:after="40"/>
            </w:pPr>
            <w:r>
              <w:rPr>
                <w:rFonts w:ascii="Times New Roman" w:hAnsi="Times New Roman"/>
                <w:sz w:val="20"/>
              </w:rPr>
              <w:t>Schlussbericht und Kontrollarbeitsmappe</w:t>
            </w:r>
          </w:p>
        </w:tc>
      </w:tr>
      <w:tr>
        <w:trPr>
          <w:cantSplit/>
        </w:trPr>
        <w:tc>
          <w:tcPr>
            <w:tcW w:type="dxa" w:w="3458"/>
            <w:vAlign w:val="top"/>
          </w:tcPr>
          <w:p>
            <w:pPr>
              <w:spacing w:after="40"/>
            </w:pPr>
            <w:r>
              <w:rPr>
                <w:rFonts w:ascii="Times New Roman" w:hAnsi="Times New Roman"/>
                <w:sz w:val="20"/>
              </w:rPr>
              <w:t>Rechnerischer und tatsächlicher Endbestand</w:t>
            </w:r>
          </w:p>
        </w:tc>
        <w:tc>
          <w:tcPr>
            <w:tcW w:type="dxa" w:w="2438"/>
            <w:vAlign w:val="top"/>
          </w:tcPr>
          <w:p>
            <w:pPr>
              <w:spacing w:after="40"/>
            </w:pPr>
            <w:r>
              <w:rPr>
                <w:rFonts w:ascii="Times New Roman" w:hAnsi="Times New Roman"/>
                <w:sz w:val="20"/>
              </w:rPr>
              <w:t>138.564,00 EUR</w:t>
            </w:r>
          </w:p>
        </w:tc>
        <w:tc>
          <w:tcPr>
            <w:tcW w:type="dxa" w:w="3628"/>
            <w:vAlign w:val="top"/>
          </w:tcPr>
          <w:p>
            <w:pPr>
              <w:spacing w:after="40"/>
            </w:pPr>
            <w:r>
              <w:rPr>
                <w:rFonts w:ascii="Times New Roman" w:hAnsi="Times New Roman"/>
                <w:sz w:val="20"/>
              </w:rPr>
              <w:t>Massekonto zum 15.03.2024</w:t>
            </w:r>
          </w:p>
        </w:tc>
      </w:tr>
      <w:tr>
        <w:trPr>
          <w:cantSplit/>
        </w:trPr>
        <w:tc>
          <w:tcPr>
            <w:tcW w:type="dxa" w:w="3458"/>
            <w:vAlign w:val="top"/>
          </w:tcPr>
          <w:p>
            <w:pPr>
              <w:spacing w:after="40"/>
            </w:pPr>
            <w:r>
              <w:rPr>
                <w:rFonts w:ascii="Times New Roman" w:hAnsi="Times New Roman"/>
                <w:sz w:val="20"/>
              </w:rPr>
              <w:t>Konkrete Schlusskosten</w:t>
            </w:r>
          </w:p>
        </w:tc>
        <w:tc>
          <w:tcPr>
            <w:tcW w:type="dxa" w:w="2438"/>
            <w:vAlign w:val="top"/>
          </w:tcPr>
          <w:p>
            <w:pPr>
              <w:spacing w:after="40"/>
            </w:pPr>
            <w:r>
              <w:rPr>
                <w:rFonts w:ascii="Times New Roman" w:hAnsi="Times New Roman"/>
                <w:sz w:val="20"/>
              </w:rPr>
              <w:t>8.420,00 EUR</w:t>
            </w:r>
          </w:p>
        </w:tc>
        <w:tc>
          <w:tcPr>
            <w:tcW w:type="dxa" w:w="3628"/>
            <w:vAlign w:val="top"/>
          </w:tcPr>
          <w:p>
            <w:pPr>
              <w:spacing w:after="40"/>
            </w:pPr>
            <w:r>
              <w:rPr>
                <w:rFonts w:ascii="Times New Roman" w:hAnsi="Times New Roman"/>
                <w:sz w:val="20"/>
              </w:rPr>
              <w:t>Kostenblatt</w:t>
            </w:r>
          </w:p>
        </w:tc>
      </w:tr>
      <w:tr>
        <w:trPr>
          <w:cantSplit/>
        </w:trPr>
        <w:tc>
          <w:tcPr>
            <w:tcW w:type="dxa" w:w="3458"/>
            <w:vAlign w:val="top"/>
          </w:tcPr>
          <w:p>
            <w:pPr>
              <w:spacing w:after="40"/>
            </w:pPr>
            <w:r>
              <w:rPr>
                <w:rFonts w:ascii="Times New Roman" w:hAnsi="Times New Roman"/>
                <w:sz w:val="20"/>
              </w:rPr>
              <w:t>Restvergütung</w:t>
            </w:r>
          </w:p>
        </w:tc>
        <w:tc>
          <w:tcPr>
            <w:tcW w:type="dxa" w:w="2438"/>
            <w:vAlign w:val="top"/>
          </w:tcPr>
          <w:p>
            <w:pPr>
              <w:spacing w:after="40"/>
            </w:pPr>
            <w:r>
              <w:rPr>
                <w:rFonts w:ascii="Times New Roman" w:hAnsi="Times New Roman"/>
                <w:sz w:val="20"/>
              </w:rPr>
              <w:t>9.682,00 EUR</w:t>
            </w:r>
          </w:p>
        </w:tc>
        <w:tc>
          <w:tcPr>
            <w:tcW w:type="dxa" w:w="3628"/>
            <w:vAlign w:val="top"/>
          </w:tcPr>
          <w:p>
            <w:pPr>
              <w:spacing w:after="40"/>
            </w:pPr>
            <w:r>
              <w:rPr>
                <w:rFonts w:ascii="Times New Roman" w:hAnsi="Times New Roman"/>
                <w:sz w:val="20"/>
              </w:rPr>
              <w:t>Vergütungsansatz/Freigabe</w:t>
            </w:r>
          </w:p>
        </w:tc>
      </w:tr>
      <w:tr>
        <w:trPr>
          <w:cantSplit/>
        </w:trPr>
        <w:tc>
          <w:tcPr>
            <w:tcW w:type="dxa" w:w="3458"/>
            <w:vAlign w:val="top"/>
          </w:tcPr>
          <w:p>
            <w:pPr>
              <w:spacing w:after="40"/>
            </w:pPr>
            <w:r>
              <w:rPr>
                <w:rFonts w:ascii="Times New Roman" w:hAnsi="Times New Roman"/>
                <w:sz w:val="20"/>
              </w:rPr>
              <w:t>Teilungsmasse</w:t>
            </w:r>
          </w:p>
        </w:tc>
        <w:tc>
          <w:tcPr>
            <w:tcW w:type="dxa" w:w="2438"/>
            <w:vAlign w:val="top"/>
          </w:tcPr>
          <w:p>
            <w:pPr>
              <w:spacing w:after="40"/>
            </w:pPr>
            <w:r>
              <w:rPr>
                <w:rFonts w:ascii="Times New Roman" w:hAnsi="Times New Roman"/>
                <w:sz w:val="20"/>
              </w:rPr>
              <w:t>120.462,00 EUR</w:t>
            </w:r>
          </w:p>
        </w:tc>
        <w:tc>
          <w:tcPr>
            <w:tcW w:type="dxa" w:w="3628"/>
            <w:vAlign w:val="top"/>
          </w:tcPr>
          <w:p>
            <w:pPr>
              <w:spacing w:after="40"/>
            </w:pPr>
            <w:r>
              <w:rPr>
                <w:rFonts w:ascii="Times New Roman" w:hAnsi="Times New Roman"/>
                <w:sz w:val="20"/>
              </w:rPr>
              <w:t>Schlussrechnung und Schlussverzeichnis</w:t>
            </w:r>
          </w:p>
        </w:tc>
      </w:tr>
      <w:tr>
        <w:trPr>
          <w:cantSplit/>
        </w:trPr>
        <w:tc>
          <w:tcPr>
            <w:tcW w:type="dxa" w:w="3458"/>
            <w:vAlign w:val="top"/>
          </w:tcPr>
          <w:p>
            <w:pPr>
              <w:spacing w:after="40"/>
            </w:pPr>
            <w:r>
              <w:rPr>
                <w:rFonts w:ascii="Times New Roman" w:hAnsi="Times New Roman"/>
                <w:sz w:val="20"/>
              </w:rPr>
              <w:t>Festgestellte Forderungen nach § 38 InsO</w:t>
            </w:r>
          </w:p>
        </w:tc>
        <w:tc>
          <w:tcPr>
            <w:tcW w:type="dxa" w:w="2438"/>
            <w:vAlign w:val="top"/>
          </w:tcPr>
          <w:p>
            <w:pPr>
              <w:spacing w:after="40"/>
            </w:pPr>
            <w:r>
              <w:rPr>
                <w:rFonts w:ascii="Times New Roman" w:hAnsi="Times New Roman"/>
                <w:sz w:val="20"/>
              </w:rPr>
              <w:t>509.842,00 EUR</w:t>
            </w:r>
          </w:p>
        </w:tc>
        <w:tc>
          <w:tcPr>
            <w:tcW w:type="dxa" w:w="3628"/>
            <w:vAlign w:val="top"/>
          </w:tcPr>
          <w:p>
            <w:pPr>
              <w:spacing w:after="40"/>
            </w:pPr>
            <w:r>
              <w:rPr>
                <w:rFonts w:ascii="Times New Roman" w:hAnsi="Times New Roman"/>
                <w:sz w:val="20"/>
              </w:rPr>
              <w:t>Gerichtliche Tabelle/Schlussverzeichnis</w:t>
            </w:r>
          </w:p>
        </w:tc>
      </w:tr>
      <w:tr>
        <w:trPr>
          <w:cantSplit/>
        </w:trPr>
        <w:tc>
          <w:tcPr>
            <w:tcW w:type="dxa" w:w="3458"/>
            <w:vAlign w:val="top"/>
          </w:tcPr>
          <w:p>
            <w:pPr>
              <w:spacing w:after="40"/>
            </w:pPr>
            <w:r>
              <w:rPr>
                <w:rFonts w:ascii="Times New Roman" w:hAnsi="Times New Roman"/>
                <w:sz w:val="20"/>
              </w:rPr>
              <w:t>Ungerundete Rechenquote</w:t>
            </w:r>
          </w:p>
        </w:tc>
        <w:tc>
          <w:tcPr>
            <w:tcW w:type="dxa" w:w="2438"/>
            <w:vAlign w:val="top"/>
          </w:tcPr>
          <w:p>
            <w:pPr>
              <w:spacing w:after="40"/>
            </w:pPr>
            <w:r>
              <w:rPr>
                <w:rFonts w:ascii="Times New Roman" w:hAnsi="Times New Roman"/>
                <w:sz w:val="20"/>
              </w:rPr>
              <w:t>23,6273198363 %</w:t>
            </w:r>
          </w:p>
        </w:tc>
        <w:tc>
          <w:tcPr>
            <w:tcW w:type="dxa" w:w="3628"/>
            <w:vAlign w:val="top"/>
          </w:tcPr>
          <w:p>
            <w:pPr>
              <w:spacing w:after="40"/>
            </w:pPr>
            <w:r>
              <w:rPr>
                <w:rFonts w:ascii="Times New Roman" w:hAnsi="Times New Roman"/>
                <w:sz w:val="20"/>
              </w:rPr>
              <w:t>120.462,00 EUR / 509.842,00 EUR</w:t>
            </w:r>
          </w:p>
        </w:tc>
      </w:tr>
      <w:tr>
        <w:trPr>
          <w:cantSplit/>
        </w:trPr>
        <w:tc>
          <w:tcPr>
            <w:tcW w:type="dxa" w:w="3458"/>
            <w:vAlign w:val="top"/>
          </w:tcPr>
          <w:p>
            <w:pPr>
              <w:spacing w:after="40"/>
            </w:pPr>
            <w:r>
              <w:rPr>
                <w:rFonts w:ascii="Times New Roman" w:hAnsi="Times New Roman"/>
                <w:sz w:val="20"/>
              </w:rPr>
              <w:t>Ausgewiesene Schlussquote</w:t>
            </w:r>
          </w:p>
        </w:tc>
        <w:tc>
          <w:tcPr>
            <w:tcW w:type="dxa" w:w="2438"/>
            <w:vAlign w:val="top"/>
          </w:tcPr>
          <w:p>
            <w:pPr>
              <w:spacing w:after="40"/>
            </w:pPr>
            <w:r>
              <w:rPr>
                <w:rFonts w:ascii="Times New Roman" w:hAnsi="Times New Roman"/>
                <w:sz w:val="20"/>
              </w:rPr>
              <w:t>23,627320 %</w:t>
            </w:r>
          </w:p>
        </w:tc>
        <w:tc>
          <w:tcPr>
            <w:tcW w:type="dxa" w:w="3628"/>
            <w:vAlign w:val="top"/>
          </w:tcPr>
          <w:p>
            <w:pPr>
              <w:spacing w:after="40"/>
            </w:pPr>
            <w:r>
              <w:rPr>
                <w:rFonts w:ascii="Times New Roman" w:hAnsi="Times New Roman"/>
                <w:sz w:val="20"/>
              </w:rPr>
              <w:t>Rundung auf sechs Dezimalstellen</w:t>
            </w:r>
          </w:p>
        </w:tc>
      </w:tr>
      <w:tr>
        <w:trPr>
          <w:cantSplit/>
        </w:trPr>
        <w:tc>
          <w:tcPr>
            <w:tcW w:type="dxa" w:w="3458"/>
            <w:vAlign w:val="top"/>
          </w:tcPr>
          <w:p>
            <w:pPr>
              <w:spacing w:after="40"/>
            </w:pPr>
            <w:r>
              <w:rPr>
                <w:rFonts w:ascii="Times New Roman" w:hAnsi="Times New Roman"/>
                <w:sz w:val="20"/>
              </w:rPr>
              <w:t>Centgenaue Schlussauszahlung</w:t>
            </w:r>
          </w:p>
        </w:tc>
        <w:tc>
          <w:tcPr>
            <w:tcW w:type="dxa" w:w="2438"/>
            <w:vAlign w:val="top"/>
          </w:tcPr>
          <w:p>
            <w:pPr>
              <w:spacing w:after="40"/>
            </w:pPr>
            <w:r>
              <w:rPr>
                <w:rFonts w:ascii="Times New Roman" w:hAnsi="Times New Roman"/>
                <w:sz w:val="20"/>
              </w:rPr>
              <w:t>120.462,00 EUR</w:t>
            </w:r>
          </w:p>
        </w:tc>
        <w:tc>
          <w:tcPr>
            <w:tcW w:type="dxa" w:w="3628"/>
            <w:vAlign w:val="top"/>
          </w:tcPr>
          <w:p>
            <w:pPr>
              <w:spacing w:after="40"/>
            </w:pPr>
            <w:r>
              <w:rPr>
                <w:rFonts w:ascii="Times New Roman" w:hAnsi="Times New Roman"/>
                <w:sz w:val="20"/>
              </w:rPr>
              <w:t>Sechs Auszahlungsgruppen; Summe nach Centausgleich</w:t>
            </w:r>
          </w:p>
        </w:tc>
      </w:tr>
    </w:tbl>
    <w:p/>
    <w:p>
      <w:pPr>
        <w:pStyle w:val="Heading1"/>
      </w:pPr>
      <w:r>
        <w:t>4. Abschlusslogik und Sperren</w:t>
      </w:r>
    </w:p>
    <w:p>
      <w:pPr>
        <w:pStyle w:val="ListBullet"/>
      </w:pPr>
      <w:r>
        <w:t>Zwischenbericht und Schlussbericht werden nach ihrem jeweiligen Stichtag gelesen. Spätere Tatsachen werden nicht in frühere Berichte zurückdatiert.</w:t>
      </w:r>
    </w:p>
    <w:p>
      <w:pPr>
        <w:pStyle w:val="ListBullet"/>
      </w:pPr>
      <w:r>
        <w:t>Die Einreichungsfreigabe vom 18. März 2024 erlaubte nur die Vorlage beim Gericht. Der Zahlungslauf setzte die gerichtliche Zustimmung, die Prüfung fristgerechter Nachweise und eine gesonderte namentliche Freigabe voraus.</w:t>
      </w:r>
    </w:p>
    <w:p>
      <w:pPr>
        <w:pStyle w:val="ListBullet"/>
      </w:pPr>
      <w:r>
        <w:t>Die Aufhebung folgt erst auf den belegten Vollzug. Ein späterer Massezufluss wird nicht in den abgeschlossenen Zahlungslauf hineingerechnet, sondern nach den §§ 203 bis 205 InsO eigenständig geprüft.</w:t>
      </w:r>
    </w:p>
    <w:p>
      <w:pPr>
        <w:pStyle w:val="ListBullet"/>
      </w:pPr>
      <w:r>
        <w:t>Bei jeder Bearbeitung sind führende Fassung, Stichtag, Belegstatus und offenes Gate ausdrücklich zu nennen. Eine Prognose darf nicht als vollzogene Zahlung oder gerichtliche Entscheidung dargestellt werden.</w:t>
      </w:r>
    </w:p>
    <w:p>
      <w:r>
        <w:rPr>
          <w:b/>
        </w:rPr>
        <w:t xml:space="preserve">Kontrollschluss. </w:t>
      </w:r>
      <w:r>
        <w:t>Die aktuelle Aktenroute lautet: Zwischenstand 31.12.2023 – Schlussbericht und Schlussrechnung 15.03.2024 – Einreichungsfreigabe 18.03.2024 – gerichtliche Zustimmung 22.03.2024 – Zahlung 22.04.2024 – Vollzugsnachweis 24.04.2024 – Aufhebung 30.04.2024 – gesonderter Nachtragsprüffall ab 12.10.2024.</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Nordlicht Handels GmbH | Verfahrensübersicht | Stand 20.10.2024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1696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Verfahrensübersicht und Fassungsregister – Nordlicht Handels GmbH</dc:title>
  <dc:subject>Aktuelle Verfahrensroute, Fassungsführung und Schlussrechnung</dc:subject>
  <dc:creator>Fiktive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