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Spreebogen Produktstudio GmbH</w:t>
        <w:br/>
        <w:t>Frieda Fröhlich, Geschäftsführerin</w:t>
        <w:br/>
        <w:t>Uferwerk 18, 12435 Berlin</w:t>
        <w:br/>
        <w:t>frieda@spreebogen.example</w:t>
      </w:r>
    </w:p>
    <w:p>
      <w:r>
        <w:t>Personalbüro und Rechtsberatung</w:t>
      </w:r>
    </w:p>
    <w:p>
      <w:pPr>
        <w:pStyle w:val="Title"/>
      </w:pPr>
      <w:r>
        <w:t>Verhandlungspositionen für unbefristete Arbeitsverträge</w:t>
      </w:r>
    </w:p>
    <w:p>
      <w:r>
        <w:t>14.09.2026</w:t>
      </w:r>
    </w:p>
    <w:p>
      <w:pPr>
        <w:pStyle w:val="Heading1"/>
      </w:pPr>
      <w:r>
        <w:t>1 Auftrag und Geltung</w:t>
      </w:r>
    </w:p>
    <w:p>
      <w:r>
        <w:t>Spreebogen Produktstudio GmbH verwendet dieses Playbook PB-SP-ARB, Version 2.0, für unbefristete Arbeitsverträge mit Beschäftigten im Berliner Produktdesign. Die Geschäftsführung hat diese Fassung am 14. September 2026 freigegeben. Zuständig für Abweichungsentscheidungen ist die Geschäftsführerin; die Fachabteilung darf Rückfragen beantworten und Vorschläge machen, aber keine roten Linien aufheben.</w:t>
      </w:r>
    </w:p>
    <w:p>
      <w:r>
        <w:t>Der Ausgangspunkt ist die Startposition (S). Eine Rückfallposition (F1) ist ein zulässiger Verhandlungskompromiss und bedarf der in der Freigabe genannten Zustimmung. Die Position N bezeichnet nicht akzeptable Bedingungen. Bei S und F1 müssen alle zugehörigen Regeln erfüllt sein. Jede einzelne erkannte Bedingung einer N-Position ist eine rote Linie; mehrere dort genannte Bedingungen müssen nicht zusammen vorliegen.</w:t>
      </w:r>
    </w:p>
    <w:p>
      <w:r>
        <w:t>Die Regelkennungen bleiben bei einer bloßen Textpflege unverändert. Geprüft wird jede Regel anhand der maßgeblichen Vertragsfassung und ihrer einbezogenen Anlagen. Tatsächliche Voraussetzungen werden nur anhand der dazugehörigen Belege festgestellt. Fehlt ein Beleg, ist die Regel nicht verifizierbar. Ein im gesamten maßgeblichen Vertrag fehlendes Thema ist als nicht gefunden auszuweisen und darf nicht aus einer älteren Fassung ergänzt werden.</w:t>
      </w:r>
    </w:p>
    <w:p>
      <w:r>
        <w:t>Die Auswertung nennt je Regel die Fundstelle mit Dateiname, Abschnitt und kurzem wörtlichem Ausschnitt. Bei zulässigen Positionen lautet das Ergebnis erfüllt oder nicht erfüllt; bei N lautet es erkannt oder nicht erkannt. Nicht verifizierbare Regeln stehen gesondert neben der Erfüllt-Zahl und zählen nicht zu deren Nenner. Die wörtliche Trefferzahl einer N-Position wird nicht umgekehrt. Eine erkannte rote Linie führt für das Thema zu hohem Risiko. Eine vollständig erfüllte Startposition ohne rote Linie hat kein Playbook-Risiko; eine vollständig erfüllte Rückfallposition hat mittleres Risiko. Andere Abweichungen und verbleibende Tatsachenlücken sind mit ihrem konkreten Grund auszuweisen; ungeklärte Tatsachen sind kein positiver Nachweis.</w:t>
      </w:r>
    </w:p>
    <w:p>
      <w:r>
        <w:t>Die Zahlen 40 Wochenstunden, zehn abgegoltene Überstunden und die Gehaltsobergrenzen sind interne Verhandlungspositionen, keine gesetzlichen Zulässigkeitsgrenzen. Zulässige Arbeitszeit, Vergütung von Mehrarbeit und deren Anordnung sind gesondert zu beurteilen. Die Zeiterfassung ersetzt diese Prüfung nicht. Ob der konkrete mobile Arbeitsplatz tatsächlich gegen fremde Einsicht geschützt ist, wird anhand der IT-Prüfung oder gleichwertiger Tatsachenbelege beurteilt. Eine vereinbarte Schutzpflicht allein beweist den tatsächlichen Zustand nicht. Die erforderliche IT-Freigabe ist davon getrennt nachzuhalten.</w:t>
      </w:r>
    </w:p>
    <w:p>
      <w:r>
        <w:t>Diese Regeln sind Unternehmenspositionen und keine Aussage darüber, dass eine Klausel gesetzlich erlaubt oder unwirksam ist. Die rechtliche Prüfung, insbesondere zwingendes Recht und die Kontrolle vorformulierter Vertragsbedingungen, erfolgt getrennt. Eine interne Freigabe ersetzt diese Prüfung nicht. Der Bericht und ein Änderungsvorschlag bleiben intern; ein Versand oder Vertragsschluss benötigt einen gesonderten Auftrag.</w:t>
      </w:r>
    </w:p>
    <w:p>
      <w:pPr>
        <w:pStyle w:val="Heading1"/>
      </w:pPr>
      <w:r>
        <w:t>2 Arbeitszeit und Mehrarbeit</w:t>
      </w:r>
    </w:p>
    <w:p>
      <w:r>
        <w:t>Thema ARB-01. Die nachstehenden Bedingungen gelten ausschließlich für dieses Thema.</w:t>
      </w:r>
    </w:p>
    <w:p>
      <w:pPr>
        <w:keepNext/>
      </w:pPr>
      <w:r>
        <w:rPr>
          <w:b/>
        </w:rPr>
        <w:t>Startposition ARB-01-S.</w:t>
      </w:r>
    </w:p>
    <w:p>
      <w:pPr>
        <w:spacing w:after="120"/>
      </w:pPr>
      <w:r>
        <w:t>ARB-01-S-R1: Die regelmäßige Wochenarbeitszeit beträgt 40 Stunden ohne Pausen.</w:t>
      </w:r>
    </w:p>
    <w:p>
      <w:pPr>
        <w:spacing w:after="120"/>
      </w:pPr>
      <w:r>
        <w:t>ARB-01-S-R2: Mit dem Monatsgehalt sind höchstens zehn angeordnete oder genehmigte Überstunden pro Monat abgegolten; darüber hinaus ist ein klarer Ausgleich vereinbart.</w:t>
      </w:r>
    </w:p>
    <w:p>
      <w:pPr>
        <w:keepNext/>
      </w:pPr>
      <w:r>
        <w:rPr>
          <w:b/>
        </w:rPr>
        <w:t>Rückfallposition ARB-01-F1.</w:t>
      </w:r>
    </w:p>
    <w:p>
      <w:pPr>
        <w:spacing w:after="120"/>
      </w:pPr>
      <w:r>
        <w:t>ARB-01-F1-R1: Die regelmäßige Wochenarbeitszeit liegt zwischen 38 und 40 Stunden ohne Pausen.</w:t>
      </w:r>
    </w:p>
    <w:p>
      <w:pPr>
        <w:spacing w:after="120"/>
      </w:pPr>
      <w:r>
        <w:t>ARB-01-F1-R2: Mit dem Monatsgehalt sind höchstens zehn angeordnete oder genehmigte Überstunden pro Monat abgegolten; darüber hinaus ist ein klarer Ausgleich vereinbart.</w:t>
      </w:r>
    </w:p>
    <w:p>
      <w:pPr>
        <w:keepNext/>
      </w:pPr>
      <w:r>
        <w:rPr>
          <w:b/>
        </w:rPr>
        <w:t>Nicht akzeptable Position ARB-01-N.</w:t>
      </w:r>
    </w:p>
    <w:p>
      <w:pPr>
        <w:spacing w:after="120"/>
      </w:pPr>
      <w:r>
        <w:t>ARB-01-N-R1: Jede Mehrarbeit ist ohne zahlenmäßige Grenze mit dem Monatsgehalt abgegolten.</w:t>
      </w:r>
    </w:p>
    <w:p>
      <w:pPr>
        <w:pStyle w:val="Heading1"/>
      </w:pPr>
      <w:r>
        <w:t>3 Arbeitsort und mobiles Arbeiten</w:t>
      </w:r>
    </w:p>
    <w:p>
      <w:r>
        <w:t>Thema ARB-02. Die nachstehenden Bedingungen gelten ausschließlich für dieses Thema.</w:t>
      </w:r>
    </w:p>
    <w:p>
      <w:pPr>
        <w:keepNext/>
      </w:pPr>
      <w:r>
        <w:rPr>
          <w:b/>
        </w:rPr>
        <w:t>Startposition ARB-02-S.</w:t>
      </w:r>
    </w:p>
    <w:p>
      <w:pPr>
        <w:spacing w:after="120"/>
      </w:pPr>
      <w:r>
        <w:t>ARB-02-S-R1: Der regelmäßige Arbeitsort ist das Berliner Büro; mobile Arbeit ist auf einen Tag pro Woche an einem genehmigten Ort innerhalb Deutschlands begrenzt.</w:t>
      </w:r>
    </w:p>
    <w:p>
      <w:pPr>
        <w:spacing w:after="120"/>
      </w:pPr>
      <w:r>
        <w:t>ARB-02-S-R2: Der konkret vorgesehene mobile Arbeitsplatz ist tatsächlich gegen die Einsicht Dritter geschützt.</w:t>
      </w:r>
    </w:p>
    <w:p>
      <w:pPr>
        <w:keepNext/>
      </w:pPr>
      <w:r>
        <w:rPr>
          <w:b/>
        </w:rPr>
        <w:t>Rückfallposition ARB-02-F1.</w:t>
      </w:r>
    </w:p>
    <w:p>
      <w:pPr>
        <w:spacing w:after="120"/>
      </w:pPr>
      <w:r>
        <w:t>ARB-02-F1-R1: Der regelmäßige Arbeitsort bleibt Berlin; bis zu zwei mobile Arbeitstage pro Woche innerhalb Deutschlands sind zulässig und an die geltenden Schutzvorgaben gebunden.</w:t>
      </w:r>
    </w:p>
    <w:p>
      <w:pPr>
        <w:spacing w:after="120"/>
      </w:pPr>
      <w:r>
        <w:t>ARB-02-F1-R2: Der konkret vorgesehene mobile Arbeitsplatz ist tatsächlich gegen die Einsicht Dritter geschützt.</w:t>
      </w:r>
    </w:p>
    <w:p>
      <w:pPr>
        <w:keepNext/>
      </w:pPr>
      <w:r>
        <w:rPr>
          <w:b/>
        </w:rPr>
        <w:t>Nicht akzeptable Position ARB-02-N.</w:t>
      </w:r>
    </w:p>
    <w:p>
      <w:pPr>
        <w:spacing w:after="120"/>
      </w:pPr>
      <w:r>
        <w:t>ARB-02-N-R1: Die Arbeitnehmerin darf ihren dauerhaften Arbeitsort ohne Zustimmung in einen beliebigen Staat verlegen.</w:t>
      </w:r>
    </w:p>
    <w:p>
      <w:pPr>
        <w:pStyle w:val="Heading1"/>
      </w:pPr>
      <w:r>
        <w:t>4 Vergütung und Fälligkeit</w:t>
      </w:r>
    </w:p>
    <w:p>
      <w:r>
        <w:t>Thema ARB-03. Die nachstehenden Bedingungen gelten ausschließlich für dieses Thema.</w:t>
      </w:r>
    </w:p>
    <w:p>
      <w:pPr>
        <w:keepNext/>
      </w:pPr>
      <w:r>
        <w:rPr>
          <w:b/>
        </w:rPr>
        <w:t>Startposition ARB-03-S.</w:t>
      </w:r>
    </w:p>
    <w:p>
      <w:pPr>
        <w:spacing w:after="120"/>
      </w:pPr>
      <w:r>
        <w:t>ARB-03-S-R1: Das feste Bruttomonatsgehalt beträgt höchstens 4.800 EUR und ist zum Monatsende fällig.</w:t>
      </w:r>
    </w:p>
    <w:p>
      <w:pPr>
        <w:keepNext/>
      </w:pPr>
      <w:r>
        <w:rPr>
          <w:b/>
        </w:rPr>
        <w:t>Rückfallposition ARB-03-F1.</w:t>
      </w:r>
    </w:p>
    <w:p>
      <w:pPr>
        <w:spacing w:after="120"/>
      </w:pPr>
      <w:r>
        <w:t>ARB-03-F1-R1: Das feste Bruttomonatsgehalt beträgt höchstens 5.000 EUR und ist zum Monatsende fällig.</w:t>
      </w:r>
    </w:p>
    <w:p>
      <w:pPr>
        <w:keepNext/>
      </w:pPr>
      <w:r>
        <w:rPr>
          <w:b/>
        </w:rPr>
        <w:t>Nicht akzeptable Position ARB-03-N.</w:t>
      </w:r>
    </w:p>
    <w:p>
      <w:pPr>
        <w:spacing w:after="120"/>
      </w:pPr>
      <w:r>
        <w:t>ARB-03-N-R1: Das feste Bruttomonatsgehalt übersteigt ohne neue Budgetfreigabe 5.000 EUR.</w:t>
      </w:r>
    </w:p>
    <w:p>
      <w:pPr>
        <w:pStyle w:val="Heading1"/>
      </w:pPr>
      <w:r>
        <w:t>5 Dauer Probezeit und Kündigung</w:t>
      </w:r>
    </w:p>
    <w:p>
      <w:r>
        <w:t>Thema ARB-04. Die nachstehenden Bedingungen gelten ausschließlich für dieses Thema.</w:t>
      </w:r>
    </w:p>
    <w:p>
      <w:pPr>
        <w:keepNext/>
      </w:pPr>
      <w:r>
        <w:rPr>
          <w:b/>
        </w:rPr>
        <w:t>Startposition ARB-04-S.</w:t>
      </w:r>
    </w:p>
    <w:p>
      <w:pPr>
        <w:spacing w:after="120"/>
      </w:pPr>
      <w:r>
        <w:t>ARB-04-S-R1: Das Arbeitsverhältnis ist unbefristet und eine Probezeit von sechs Monaten mit zweiwöchiger Kündigungsfrist ist vereinbart.</w:t>
      </w:r>
    </w:p>
    <w:p>
      <w:pPr>
        <w:spacing w:after="120"/>
      </w:pPr>
      <w:r>
        <w:t>ARB-04-S-R2: Nach der Probezeit gelten die gesetzlichen Kündigungsfristen; die Arbeitgeberin erhält kein pauschales Freistellungsrecht für jede Kündigung.</w:t>
      </w:r>
    </w:p>
    <w:p>
      <w:pPr>
        <w:keepNext/>
      </w:pPr>
      <w:r>
        <w:rPr>
          <w:b/>
        </w:rPr>
        <w:t>Rückfallposition ARB-04-F1.</w:t>
      </w:r>
    </w:p>
    <w:p>
      <w:pPr>
        <w:spacing w:after="120"/>
      </w:pPr>
      <w:r>
        <w:t>ARB-04-F1-R1: Das Arbeitsverhältnis ist unbefristet und die Probezeit dauert höchstens sechs Monate.</w:t>
      </w:r>
    </w:p>
    <w:p>
      <w:pPr>
        <w:spacing w:after="120"/>
      </w:pPr>
      <w:r>
        <w:t>ARB-04-F1-R2: Eine Freistellung nach einer Kündigung setzt eine konkrete Interessenabwägung im Einzelfall voraus.</w:t>
      </w:r>
    </w:p>
    <w:p>
      <w:pPr>
        <w:keepNext/>
      </w:pPr>
      <w:r>
        <w:rPr>
          <w:b/>
        </w:rPr>
        <w:t>Nicht akzeptable Position ARB-04-N.</w:t>
      </w:r>
    </w:p>
    <w:p>
      <w:pPr>
        <w:spacing w:after="120"/>
      </w:pPr>
      <w:r>
        <w:t>ARB-04-N-R1: Die Arbeitgeberin darf nach jeder Kündigung ohne weitere Voraussetzungen einseitig von der Arbeitspflicht freistellen.</w:t>
      </w:r>
    </w:p>
    <w:p>
      <w:pPr>
        <w:pStyle w:val="Heading1"/>
      </w:pPr>
      <w:r>
        <w:t>6 Vertraulichkeit nach dem Ausscheiden</w:t>
      </w:r>
    </w:p>
    <w:p>
      <w:r>
        <w:t>Thema ARB-05. Die nachstehenden Bedingungen gelten ausschließlich für dieses Thema.</w:t>
      </w:r>
    </w:p>
    <w:p>
      <w:pPr>
        <w:keepNext/>
      </w:pPr>
      <w:r>
        <w:rPr>
          <w:b/>
        </w:rPr>
        <w:t>Startposition ARB-05-S.</w:t>
      </w:r>
    </w:p>
    <w:p>
      <w:pPr>
        <w:spacing w:after="120"/>
      </w:pPr>
      <w:r>
        <w:t>ARB-05-S-R1: Die nachvertragliche Verschwiegenheit ist auf konkret schutzbedürftige Geheimnisse beschränkt; allgemeine berufliche Kenntnisse bleiben nutzbar.</w:t>
      </w:r>
    </w:p>
    <w:p>
      <w:pPr>
        <w:spacing w:after="120"/>
      </w:pPr>
      <w:r>
        <w:t>ARB-05-S-R2: Gesetzlich erlaubte Meldungen und Offenlegungen werden nicht untersagt.</w:t>
      </w:r>
    </w:p>
    <w:p>
      <w:pPr>
        <w:keepNext/>
      </w:pPr>
      <w:r>
        <w:rPr>
          <w:b/>
        </w:rPr>
        <w:t>Rückfallposition ARB-05-F1.</w:t>
      </w:r>
    </w:p>
    <w:p>
      <w:pPr>
        <w:spacing w:after="120"/>
      </w:pPr>
      <w:r>
        <w:t>ARB-05-F1-R1: Die Geheimhaltung nennt hinreichend bestimmte Geheimnisbereiche, endet mit dem Wegfall ihres Schutzbedarfs und lässt berufliche Erfahrung sowie erlaubte Meldungen unberührt.</w:t>
      </w:r>
    </w:p>
    <w:p>
      <w:pPr>
        <w:keepNext/>
      </w:pPr>
      <w:r>
        <w:rPr>
          <w:b/>
        </w:rPr>
        <w:t>Nicht akzeptable Position ARB-05-N.</w:t>
      </w:r>
    </w:p>
    <w:p>
      <w:pPr>
        <w:spacing w:after="120"/>
      </w:pPr>
      <w:r>
        <w:t>ARB-05-N-R1: Nach dem Ausscheiden müssen alle jemals bekannt gewordenen internen Vorgänge zeitlich unbegrenzt geheim gehalten werden.</w:t>
      </w:r>
    </w:p>
    <w:p>
      <w:pPr>
        <w:pStyle w:val="Heading1"/>
      </w:pPr>
      <w:r>
        <w:t>7 Ausschlussfristen</w:t>
      </w:r>
    </w:p>
    <w:p>
      <w:r>
        <w:t>Thema ARB-06. Die nachstehenden Bedingungen gelten ausschließlich für dieses Thema.</w:t>
      </w:r>
    </w:p>
    <w:p>
      <w:pPr>
        <w:keepNext/>
      </w:pPr>
      <w:r>
        <w:rPr>
          <w:b/>
        </w:rPr>
        <w:t>Startposition ARB-06-S.</w:t>
      </w:r>
    </w:p>
    <w:p>
      <w:pPr>
        <w:spacing w:after="120"/>
      </w:pPr>
      <w:r>
        <w:t>ARB-06-S-R1: Für die Geltendmachung von Ansprüchen ist mindestens eine dreimonatige Frist in Textform vorgesehen.</w:t>
      </w:r>
    </w:p>
    <w:p>
      <w:pPr>
        <w:spacing w:after="120"/>
      </w:pPr>
      <w:r>
        <w:t>ARB-06-S-R2: Die Regelung nimmt gesetzlich unverzichtbare Ansprüche, insbesondere den gesetzlichen Mindestlohn, ausdrücklich aus.</w:t>
      </w:r>
    </w:p>
    <w:p>
      <w:pPr>
        <w:keepNext/>
      </w:pPr>
      <w:r>
        <w:rPr>
          <w:b/>
        </w:rPr>
        <w:t>Rückfallposition ARB-06-F1.</w:t>
      </w:r>
    </w:p>
    <w:p>
      <w:pPr>
        <w:spacing w:after="120"/>
      </w:pPr>
      <w:r>
        <w:t>ARB-06-F1-R1: Der Vertrag enthält keine vertragliche Ausschlussfrist.</w:t>
      </w:r>
    </w:p>
    <w:p>
      <w:pPr>
        <w:keepNext/>
      </w:pPr>
      <w:r>
        <w:rPr>
          <w:b/>
        </w:rPr>
        <w:t>Nicht akzeptable Position ARB-06-N.</w:t>
      </w:r>
    </w:p>
    <w:p>
      <w:pPr>
        <w:spacing w:after="120"/>
      </w:pPr>
      <w:r>
        <w:t>ARB-06-N-R1: Die Ausschlussfrist erfasst ausdrücklich auch Ansprüche auf den gesetzlichen Mindestlohn.</w:t>
      </w:r>
    </w:p>
    <w:p>
      <w:pPr>
        <w:pStyle w:val="Heading1"/>
      </w:pPr>
      <w:r>
        <w:t>8 Nebentätigkeit und Wettbewerb</w:t>
      </w:r>
    </w:p>
    <w:p>
      <w:r>
        <w:t>Thema ARB-07. Die nachstehenden Bedingungen gelten ausschließlich für dieses Thema.</w:t>
      </w:r>
    </w:p>
    <w:p>
      <w:pPr>
        <w:keepNext/>
      </w:pPr>
      <w:r>
        <w:rPr>
          <w:b/>
        </w:rPr>
        <w:t>Startposition ARB-07-S.</w:t>
      </w:r>
    </w:p>
    <w:p>
      <w:pPr>
        <w:spacing w:after="120"/>
      </w:pPr>
      <w:r>
        <w:t>ARB-07-S-R1: Entgeltliche Nebentätigkeiten sind anzuzeigen und dürfen nur bei konkreter Beeinträchtigung berechtigter betrieblicher Interessen untersagt werden.</w:t>
      </w:r>
    </w:p>
    <w:p>
      <w:pPr>
        <w:spacing w:after="120"/>
      </w:pPr>
      <w:r>
        <w:t>ARB-07-S-R2: Der Vertrag enthält kein nachvertragliches Wettbewerbsverbot.</w:t>
      </w:r>
    </w:p>
    <w:p>
      <w:pPr>
        <w:keepNext/>
      </w:pPr>
      <w:r>
        <w:rPr>
          <w:b/>
        </w:rPr>
        <w:t>Rückfallposition ARB-07-F1.</w:t>
      </w:r>
    </w:p>
    <w:p>
      <w:pPr>
        <w:spacing w:after="120"/>
      </w:pPr>
      <w:r>
        <w:t>ARB-07-F1-R1: Für entgeltliche Nebentätigkeiten ist eine Zustimmung vorgesehen, die ohne konkrete entgegenstehende berechtigte Interessen zu erteilen ist.</w:t>
      </w:r>
    </w:p>
    <w:p>
      <w:pPr>
        <w:spacing w:after="120"/>
      </w:pPr>
      <w:r>
        <w:t>ARB-07-F1-R2: Der Vertrag enthält kein nachvertragliches Wettbewerbsverbot.</w:t>
      </w:r>
    </w:p>
    <w:p>
      <w:pPr>
        <w:keepNext/>
      </w:pPr>
      <w:r>
        <w:rPr>
          <w:b/>
        </w:rPr>
        <w:t>Nicht akzeptable Position ARB-07-N.</w:t>
      </w:r>
    </w:p>
    <w:p>
      <w:pPr>
        <w:spacing w:after="120"/>
      </w:pPr>
      <w:r>
        <w:t>ARB-07-N-R1: Jede Nebentätigkeit einschließlich unentgeltlicher privater Tätigkeiten ist ausnahmslos verboten.</w:t>
      </w:r>
    </w:p>
    <w:p>
      <w:pPr>
        <w:pStyle w:val="Heading1"/>
      </w:pPr>
      <w:r>
        <w:t>9 Fortbildung</w:t>
      </w:r>
    </w:p>
    <w:p>
      <w:r>
        <w:t>Thema ARB-08. Die nachstehenden Bedingungen gelten ausschließlich für dieses Thema.</w:t>
      </w:r>
    </w:p>
    <w:p>
      <w:pPr>
        <w:keepNext/>
      </w:pPr>
      <w:r>
        <w:rPr>
          <w:b/>
        </w:rPr>
        <w:t>Startposition ARB-08-S.</w:t>
      </w:r>
    </w:p>
    <w:p>
      <w:pPr>
        <w:spacing w:after="120"/>
      </w:pPr>
      <w:r>
        <w:t>ARB-08-S-R1: Die Arbeitgeberin stellt pro Kalenderjahr zwei bezahlte Fortbildungstage für arbeitsbezogene und vorab abgestimmte Veranstaltungen zur Verfügung.</w:t>
      </w:r>
    </w:p>
    <w:p>
      <w:pPr>
        <w:keepNext/>
      </w:pPr>
      <w:r>
        <w:rPr>
          <w:b/>
        </w:rPr>
        <w:t>Rückfallposition ARB-08-F1.</w:t>
      </w:r>
    </w:p>
    <w:p>
      <w:pPr>
        <w:spacing w:after="120"/>
      </w:pPr>
      <w:r>
        <w:t>ARB-08-F1-R1: Die Arbeitgeberin stellt pro Kalenderjahr einen bezahlten Fortbildungstag für eine arbeitsbezogene und vorab abgestimmte Veranstaltung zur Verfügung.</w:t>
      </w:r>
    </w:p>
    <w:p>
      <w:pPr>
        <w:keepNext/>
      </w:pPr>
      <w:r>
        <w:rPr>
          <w:b/>
        </w:rPr>
        <w:t>Nicht akzeptable Position ARB-08-N.</w:t>
      </w:r>
    </w:p>
    <w:p>
      <w:pPr>
        <w:spacing w:after="120"/>
      </w:pPr>
      <w:r>
        <w:t>ARB-08-N-R1: Die Arbeitnehmerin muss jede betrieblich angeordnete Fortbildung unbezahlt außerhalb der Arbeitszeit absolvieren.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Verhandlungspositionen für unbefristete Arbeitsverträge</dc:title>
  <dc:subject/>
  <dc:creator>Spreebogen Produktstudio GmbH
Frieda Fröhlich, Geschäftsführerin
Uferwerk 18, 12435 Berlin
frieda@spreebogen.example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