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Frühere Fassung des Arbeitsvertrags mit Nora Aydin</w:t>
      </w:r>
    </w:p>
    <w:p>
      <w:r>
        <w:t>18.09.2026 · AV-NA-01 | überholt</w:t>
      </w:r>
    </w:p>
    <w:p>
      <w:r>
        <w:t>Die folgende frühere Fassung AV-NA-01 ist durch AV-NA-03 ersetzt. Sie bleibt allein zur Nachvollziehbarkeit im Vorgang.</w:t>
      </w:r>
    </w:p>
    <w:p>
      <w:pPr>
        <w:pStyle w:val="Heading1"/>
      </w:pPr>
      <w:r>
        <w:t>1 Vertragsparteien und Beginn</w:t>
      </w:r>
    </w:p>
    <w:p>
      <w:r>
        <w:t>Die Spreebogen Produktstudio GmbH, Uferwerk 18, 12435 Berlin, vertreten durch ihre Geschäftsführerin Frieda Fröhlich, und Frau Nora Aydin, Kiefernweg 23, 12055 Berlin, schließen folgenden Arbeitsvertrag. Das Arbeitsverhältnis beginnt am 1. November 2026 und wird auf unbestimmte Zeit geschlossen. Es ist kein kalendermäßiges oder zweckgebundenes Ende vereinbart.</w:t>
      </w:r>
    </w:p>
    <w:p>
      <w:pPr>
        <w:pStyle w:val="Heading1"/>
      </w:pPr>
      <w:r>
        <w:t>2 Tätigkeit und Arbeitsort</w:t>
      </w:r>
    </w:p>
    <w:p>
      <w:r>
        <w:t>Frau Aydin wird als Produktdesignerin beschäftigt. Ihre Tätigkeit umfasst die Entwicklung von Bedienoberflächen, die Erstellung von Prototypen sowie die Abstimmung mit Entwicklung und Kundenbetreuung. Die Arbeitgeberin darf ihr unter Berücksichtigung ihrer Interessen andere gleichwertige und zumutbare Aufgaben übertragen. Der regelmäßige Arbeitsort ist das Büro Uferwerk 18 in Berlin. Eine Vereinbarung über mobile Arbeit liegt dieser ersten Fassung noch nicht bei.</w:t>
      </w:r>
    </w:p>
    <w:p>
      <w:pPr>
        <w:pStyle w:val="Heading1"/>
      </w:pPr>
      <w:r>
        <w:t>3 Arbeitszeit und Mehrarbeit</w:t>
      </w:r>
    </w:p>
    <w:p>
      <w:r>
        <w:t>Die regelmäßige Arbeitszeit beträgt 40 Stunden pro Woche ohne Ruhepausen und verteilt sich grundsätzlich auf Montag bis Freitag. Die Lage der täglichen Arbeitszeit wird unter Beachtung der gesetzlichen Ruhepausen und Ruhezeiten betrieblich abgestimmt. Beginn, Ende und Dauer der täglichen Arbeit sowie Pausen werden im betrieblichen Zeiterfassungssystem dokumentiert; dies gilt auch bei mobiler Arbeit.</w:t>
      </w:r>
    </w:p>
    <w:p>
      <w:r>
        <w:t>Überstunden bedürfen einer vorherigen Anordnung oder Genehmigung durch die Teamleitung. Mit dem Monatsgehalt ist jede anfallende Mehrarbeit unabhängig von ihrer Dauer abgegolten. Eine Verpflichtung zur Mehrarbeit besteht nur im gesetzlich zulässigen und im Einzelfall zumutbaren Umfang. Die Aufzeichnung von Arbeitszeit begründet für sich allein keine Genehmigung von Mehrarbeit.</w:t>
      </w:r>
    </w:p>
    <w:p>
      <w:pPr>
        <w:pStyle w:val="Heading1"/>
      </w:pPr>
      <w:r>
        <w:t>4 Vergütung</w:t>
      </w:r>
    </w:p>
    <w:p>
      <w:r>
        <w:t>Die Arbeitnehmerin erhält ein festes Bruttomonatsgehalt von 4.800 EUR. Es wird am letzten Bankarbeitstag des jeweiligen Monats auf ihr von ihr benanntes Konto überwiesen. Für einen nur anteilig bestehenden Monat wird das Gehalt zeitanteilig berechnet. Ein Bonus, eine Provision oder eine jährliche Sonderzahlung ist nicht vereinbart. Gesetzliche Ansprüche auf Entgeltfortzahlung bleiben unberührt.</w:t>
      </w:r>
    </w:p>
    <w:p>
      <w:pPr>
        <w:pStyle w:val="Heading1"/>
      </w:pPr>
      <w:r>
        <w:t>5 Urlaub und Verhinderung</w:t>
      </w:r>
    </w:p>
    <w:p>
      <w:r>
        <w:t>Die Arbeitnehmerin hat bei einer Fünftagewoche Anspruch auf 28 Arbeitstage bezahlten Erholungsurlaub je Kalenderjahr. Der Urlaub ist mit der Teamleitung unter Berücksichtigung der gesetzlichen Vorgaben abzustimmen. Für Ein- und Austrittsjahre gelten die gesetzlichen Mindestansprüche; darüber hinausgehender Urlaub wird zeitanteilig gewährt, soweit dadurch der gesetzliche Anspruch nicht unterschritten wird.</w:t>
      </w:r>
    </w:p>
    <w:p>
      <w:r>
        <w:t>Eine Arbeitsverhinderung ist unverzüglich unter Angabe ihrer voraussichtlichen Dauer mitzuteilen. Bei Krankheit gelten die gesetzlichen Nachweis- und Mitwirkungspflichten, einschließlich des Verfahrens zum elektronischen Abruf der Arbeitsunfähigkeitsdaten, soweit dieses anwendbar ist. Die Arbeitgeberin kann im gesetzlich zulässigen Umfang einen früheren Nachweis verlangen.</w:t>
      </w:r>
    </w:p>
    <w:p>
      <w:pPr>
        <w:pStyle w:val="Heading1"/>
      </w:pPr>
      <w:r>
        <w:t>6 Probezeit und Beendigung</w:t>
      </w:r>
    </w:p>
    <w:p>
      <w:r>
        <w:t>Die ersten sechs Monate gelten als Probezeit. In dieser Zeit können beide Parteien das Arbeitsverhältnis mit einer Frist von zwei Wochen kündigen. Nach der Probezeit gelten die gesetzlichen Kündigungsfristen. Jede Kündigung bedarf der gesetzlich vorgeschriebenen Schriftform; die elektronische Form ist ausgeschlossen. Wer die Unwirksamkeit einer Kündigung geltend machen will, muss die gesetzlich vorgesehene Klagefrist beachten, regelmäßig drei Wochen ab Zugang der schriftlichen Kündigung.</w:t>
      </w:r>
    </w:p>
    <w:p>
      <w:r>
        <w:t>Nach Ausspruch einer Kündigung durch eine der Parteien darf die Arbeitgeberin die Arbeitnehmerin ohne weitere Voraussetzungen bis zum Ablauf der Kündigungsfrist unter Fortzahlung der Vergütung einseitig von der Arbeitspflicht freistellen. Eine Anrechnung von Urlaub wird nur durch eine gesonderte unwiderrufliche Erklärung für einen konkret bestimmten Zeitraum vorgenommen.</w:t>
      </w:r>
    </w:p>
    <w:p>
      <w:pPr>
        <w:pStyle w:val="Heading1"/>
      </w:pPr>
      <w:r>
        <w:t>7 Verschwiegenheit</w:t>
      </w:r>
    </w:p>
    <w:p>
      <w:r>
        <w:t>Während und nach dem Arbeitsverhältnis hat die Arbeitnehmerin über sämtliche ihr bekannt gewordenen internen Vorgänge, Informationen und Geschäftsabläufe der Arbeitgeberin zeitlich unbegrenzt Stillschweigen zu bewahren. Dies gilt unabhängig davon, ob die betreffende Information im Einzelfall noch geheim oder schutzbedürftig ist. Gesetzlich erlaubte Meldungen nach dem Hinweisgeberschutzrecht und gesetzlich vorgeschriebene Offenlegungen bleiben unberührt.</w:t>
      </w:r>
    </w:p>
    <w:p>
      <w:pPr>
        <w:pStyle w:val="Heading1"/>
      </w:pPr>
      <w:r>
        <w:t>8 Nebentätigkeit und Wettbewerb</w:t>
      </w:r>
    </w:p>
    <w:p>
      <w:r>
        <w:t>Entgeltliche Nebentätigkeiten sind der Arbeitgeberin vor Aufnahme in Textform anzuzeigen. Die Arbeitgeberin darf sie nur untersagen, soweit konkrete berechtigte betriebliche Interessen, insbesondere gesetzliche Arbeitszeitgrenzen oder eine unmittelbare Konkurrenztätigkeit, entgegenstehen. Eine ehrenamtliche private Tätigkeit ist nicht anzeigepflichtig. Während des Arbeitsverhältnisses gelten die gesetzlichen Wettbewerbspflichten. Ein nachvertragliches Wettbewerbsverbot wird nicht vereinbart.</w:t>
      </w:r>
    </w:p>
    <w:p>
      <w:pPr>
        <w:pStyle w:val="Heading1"/>
      </w:pPr>
      <w:r>
        <w:t>9 Ausschlussfrist</w:t>
      </w:r>
    </w:p>
    <w:p>
      <w:r>
        <w:t>Ansprüche aus dem Arbeitsverhältnis sind innerhalb von drei Monaten nach Fälligkeit in Textform gegenüber der anderen Partei geltend zu machen. Andernfalls verfallen sie. Ausgenommen sind Ansprüche wegen vorsätzlicher Pflichtverletzung, wegen Verletzung von Leben, Körper oder Gesundheit sowie gesetzlich unverzichtbare Ansprüche, insbesondere der Anspruch auf den gesetzlichen Mindestlohn. Die gesetzlichen Verjährungsregeln bleiben für nicht verfallene Ansprüche unberührt.</w:t>
      </w:r>
    </w:p>
    <w:p>
      <w:pPr>
        <w:pStyle w:val="Heading1"/>
      </w:pPr>
      <w:r>
        <w:t>10 Weitere Bedingungen und Anlagen</w:t>
      </w:r>
    </w:p>
    <w:p>
      <w:r>
        <w:t>Eine betriebliche Altersversorgung wird nicht zugesagt. Auf das Arbeitsverhältnis finden nach Angaben der Arbeitgeberin keine Tarifverträge und keine Betriebsvereinbarungen Anwendung. Anlagen sind mit dieser ersten Fassung noch nicht vereinbart. Individuelle Vereinbarungen und zwingende gesetzliche Bestimmungen bleiben unberührt.</w:t>
      </w:r>
    </w:p>
    <w:p>
      <w:pPr>
        <w:pStyle w:val="Heading1"/>
      </w:pPr>
      <w:r>
        <w:t>11 Fortbildung</w:t>
      </w:r>
    </w:p>
    <w:p>
      <w:r>
        <w:t>Die Arbeitgeberin stellt der Arbeitnehmerin pro Kalenderjahr zwei bezahlte Fortbildungstage für arbeitsbezogene und vorab abgestimmte Veranstaltungen zur Verfügung. Die Auswahl und der Termin werden mit der Teamleitung abgestimmt.</w:t>
      </w:r>
    </w:p>
    <w:p>
      <w:pPr>
        <w:pStyle w:val="Heading1"/>
      </w:pPr>
      <w:r>
        <w:t>12 Unterzeichnung</w:t>
      </w:r>
    </w:p>
    <w:p>
      <w:r>
        <w:t>Diese Fassung AV-NA-01 vom 18. September 2026 ist noch nicht unterzeichnet. Die Vertragsexemplare sollen nach Abstimmung von Frieda Fröhlich für die Arbeitgeberin und Nora Aydin für sich selbst unterzeichnet werden. Die Arbeitnehmerin erhält ein unterschriebenes Exemplar.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Frühere Fassung des Arbeitsvertrags mit Nora Aydin</dc:title>
  <dc:subject/>
  <dc:creator>Spreebogen Produktstudio GmbH
Frieda Fröhlich, Geschäftsführerin
Uferwerk 18, 12435 Berlin
frieda@spreebogen.example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