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Mobiles Arbeiten und Arbeitszeit für Nora Aydin</w:t>
      </w:r>
    </w:p>
    <w:p>
      <w:r>
        <w:t>28.09.2026 · AV-NA-AN1</w:t>
      </w:r>
    </w:p>
    <w:p>
      <w:pPr>
        <w:pStyle w:val="Heading1"/>
      </w:pPr>
      <w:r>
        <w:t>1 Geltung und Rang</w:t>
      </w:r>
    </w:p>
    <w:p>
      <w:r>
        <w:t>Diese noch nicht unterzeichnete Anlage gehört zum Arbeitsvertragsentwurf AV-NA-03 vom 28. September 2026. Bei Widersprüchen geht sie den Abschnitten 2 und 3 des Hauptvertrags vor. Alle übrigen Regelungen bleiben unverändert. Sie soll gemeinsam mit dem Hauptvertrag unterzeichnet werden.</w:t>
      </w:r>
    </w:p>
    <w:p>
      <w:pPr>
        <w:pStyle w:val="Heading1"/>
      </w:pPr>
      <w:r>
        <w:t>2 Regelmäßige Arbeitszeit</w:t>
      </w:r>
    </w:p>
    <w:p>
      <w:r>
        <w:t>Abweichend von Abschnitt 3 des Hauptvertrags beträgt die regelmäßige Wochenarbeitszeit 38,5 Stunden ohne Ruhepausen. Sie verteilt sich grundsätzlich auf Montag bis Freitag. Die Regeln des Hauptvertrags über Anordnung, Dokumentation, höchstens zehn mit dem Monatsgehalt abgegoltene Überstunden und den Ausgleich darüber hinausgehender Überstunden gelten unverändert. Das feste Monatsgehalt bleibt ebenfalls unverändert.</w:t>
      </w:r>
    </w:p>
    <w:p>
      <w:pPr>
        <w:pStyle w:val="Heading1"/>
      </w:pPr>
      <w:r>
        <w:t>3 Mobile Arbeit</w:t>
      </w:r>
    </w:p>
    <w:p>
      <w:r>
        <w:t>Der regelmäßige Arbeitsort bleibt das Berliner Büro. Nach vorheriger Abstimmung mit der Teamleitung darf Frau Aydin bis zu zwei Tage pro Woche an ihrem genehmigten häuslichen Arbeitsplatz in Deutschland mobil arbeiten. Ein ständiger Wechsel des Arbeitsorts oder eine Tätigkeit aus dem Ausland bedürfen einer gesonderten Vereinbarung. Besprechungen und die berechtigten betrieblichen Anforderungen sind bei der Wahl der Tage zu berücksichtigen.</w:t>
      </w:r>
    </w:p>
    <w:p>
      <w:pPr>
        <w:pStyle w:val="Heading1"/>
      </w:pPr>
      <w:r>
        <w:t>4 Schutz und Ausstattung</w:t>
      </w:r>
    </w:p>
    <w:p>
      <w:r>
        <w:t>Es wird ausschließlich das von der Arbeitgeberin bereitgestellte, verwaltete Notebook verwendet. Der Bildschirm muss gegen Einsicht Dritter geschützt sein; vertrauliche Unterlagen sind verschlossen aufzubewahren. Die Verbindung zum Unternehmensnetz erfolgt über die freigegebene gesicherte Verbindung. Private Personen dürfen das Gerät nicht benutzen. Arbeitszeit- und Gesundheitsschutzvorgaben gelten uneingeschränkt.</w:t>
      </w:r>
    </w:p>
    <w:p>
      <w:r>
        <w:t>Vor dem ersten mobilen Arbeitstag muss die IT den konkret vorgesehenen Arbeitsplatz nach dem vereinbarten internen Verfahren schriftlich freigeben. Bis dahin arbeitet Frau Aydin im Büro. Die Arbeitgeberin stellt die erforderliche betriebliche Ausstattung bereit und trägt die vereinbarten notwendigen Beschaffungskosten. Mit dieser Anlage wird nicht bestätigt, dass die Prüfung bereits stattgefunden hat.</w:t>
      </w:r>
    </w:p>
    <w:p>
      <w:pPr>
        <w:pStyle w:val="Heading1"/>
      </w:pPr>
      <w:r>
        <w:t>5 Abstimmung bei Veränderungen</w:t>
      </w:r>
    </w:p>
    <w:p>
      <w:r>
        <w:t>Ändern sich die räumlichen oder technischen Bedingungen, wird die IT informiert. Bei einem konkret dokumentierten Sicherheitsproblem ist mobile Arbeit bis zur Klärung auszusetzen. Die Parteien suchen dann eine angemessene Lösung. Weitergehende Änderungen dieser Vereinbarung werden gemeinsam abgestimmt.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Mobiles Arbeiten und Arbeitszeit für Nora Aydin</dc:title>
  <dc:subject/>
  <dc:creator>Spreebogen Produktstudio GmbH
Frieda Fröhlich, Geschäftsführerin
Uferwerk 18, 12435 Berlin
frieda@spreebogen.example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