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Spreebogen Produktstudio GmbH</w:t>
        <w:br/>
        <w:t>Frieda Fröhlich, Geschäftsführerin</w:t>
        <w:br/>
        <w:t>Uferwerk 18, 12435 Berlin</w:t>
        <w:br/>
        <w:t>frieda@spreebogen.example</w:t>
      </w:r>
    </w:p>
    <w:p>
      <w:r>
        <w:t>Clara Klee</w:t>
      </w:r>
    </w:p>
    <w:p>
      <w:pPr>
        <w:pStyle w:val="Title"/>
      </w:pPr>
      <w:r>
        <w:t>Gespräch mit Nora über die Vertragsfassung</w:t>
      </w:r>
    </w:p>
    <w:p>
      <w:r>
        <w:t>29.09.2026</w:t>
      </w:r>
    </w:p>
    <w:p>
      <w:pPr>
        <w:pStyle w:val="Heading1"/>
      </w:pPr>
      <w:r>
        <w:t>1 Stand der Einigung</w:t>
      </w:r>
    </w:p>
    <w:p>
      <w:r>
        <w:t>Nora möchte weiter bei uns anfangen. Für 38,5 Wochenstunden und das feste Gehalt von 4.900 EUR sieht Frieda eine wirtschaftliche Grundlage. Beide Werte sollen in der Prüfung als Abweichung vom Startangebot erkennbar bleiben. Eine pauschale Billigung aller übrigen Abschnitte ist damit nicht verbunden. Das gilt auch für Texte, die aus dem alten Personalformular stammen.</w:t>
      </w:r>
    </w:p>
    <w:p>
      <w:pPr>
        <w:pStyle w:val="Heading1"/>
      </w:pPr>
      <w:r>
        <w:t>2 Arbeitsorganisation</w:t>
      </w:r>
    </w:p>
    <w:p>
      <w:r>
        <w:t>Zwei mobile Arbeitstage sind bei passender Projektplanung möglich. Vor dem Start muss die IT den häuslichen Arbeitsplatz prüfen. Frieda hat im Gespräch keine bereits erteilte IT-Freigabe behauptet. Der Arbeitsort soll Deutschland bleiben.</w:t>
      </w:r>
    </w:p>
    <w:p>
      <w:pPr>
        <w:pStyle w:val="Heading1"/>
      </w:pPr>
      <w:r>
        <w:t>3 Änderungswünsche</w:t>
      </w:r>
    </w:p>
    <w:p>
      <w:r>
        <w:t>Nora wünscht klare Grenzen der Verschwiegenheit, weil sie ihre Berufserfahrung auch später verwenden will. Frieda möchte echte Produktgeheimnisse schützen. Beide wollen keinen Streit über einen pauschalen Geheimhaltungsbegriff. Über eine allgemeine Freistellung nach einer Kündigung haben sie noch nicht gesprochen. Die Rechtsberatung soll dafür einen sachgerechten Text vorschlagen.</w:t>
      </w:r>
    </w:p>
    <w:p>
      <w:pPr>
        <w:pStyle w:val="Heading1"/>
      </w:pPr>
      <w:r>
        <w:t>4 Weitere Unterlagen</w:t>
      </w:r>
    </w:p>
    <w:p>
      <w:r>
        <w:t>Es gibt keine zusätzliche mündliche Vereinbarung über Fortbildung, Boni oder eine betriebliche Altersversorgung. Wenn dazu etwas in den Vertrag soll, muss es ausdrücklich abgestimmt werden. Das ältere Formular soll nicht zur Ergänzung des neuen Vertrags herangezogen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mit Nora über die Vertragsfassung</dc:title>
  <dc:subject/>
  <dc:creator>Spreebogen Produktstudio GmbH
Frieda Fröhlich, Geschäftsführerin
Uferwerk 18, 12435 Berlin
frieda@spreebogen.example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