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Frühere Fassung der Geheimhaltungsvereinbarung Federlicht</w:t>
      </w:r>
    </w:p>
    <w:p>
      <w:r>
        <w:t>18.09.2026 · LB-FED-NDA-01 | überholt</w:t>
      </w:r>
    </w:p>
    <w:p>
      <w:r>
        <w:t>Diese frühere Fassung wurde am 25. September 2026 ersetzt und wird nur im Verlauf aufbewahrt.</w:t>
      </w:r>
    </w:p>
    <w:p>
      <w:pPr>
        <w:pStyle w:val="Heading1"/>
      </w:pPr>
      <w:r>
        <w:t>1 Parteien und Projekt</w:t>
      </w:r>
    </w:p>
    <w:p>
      <w:r>
        <w:t>Die Kupferfink Sensorik GmbH, Werkhof 12, 13357 Berlin, vertreten durch ihre Geschäftsführerin Mina Kupfer, und die Lindenbogen Design GmbH, Ateliergasse 7, 04107 Leipzig, vertreten durch ihren Geschäftsführer Severin Bock, wollen die gemeinsame Entwicklung des Tischsensors Federlicht prüfen. Der Sensor soll Berührungen und die Ausrichtung eines Gegenstands auf einer Arbeitsfläche erkennen. Jede Partei kann im Verlauf der Gespräche sowohl Informationen offenlegen als auch empfangen. Diese Vereinbarung verpflichtet beide Parteien in gleicher Weise.</w:t>
      </w:r>
    </w:p>
    <w:p>
      <w:pPr>
        <w:pStyle w:val="Heading1"/>
      </w:pPr>
      <w:r>
        <w:t>2 Vertrauliche Informationen</w:t>
      </w:r>
    </w:p>
    <w:p>
      <w:r>
        <w:t>Vertraulich sind mitgeteilte technische und kaufmännische Informationen, die als vertraulich gekennzeichnet sind oder deren Vertraulichkeit nach den Umständen erkennbar ist. Dazu gehören insbesondere die überlassenen Schaltungsunterlagen, Messdaten, Gehäuseentwürfe und nicht veröffentlichten Kalkulationen zum Projekt Federlicht. Die empfangende Partei behandelt solche Informationen mit derselben Sorgfalt wie eigene vergleichbare Geheimnisse, mindestens jedoch mit angemessener Sorgfalt.</w:t>
      </w:r>
    </w:p>
    <w:p>
      <w:r>
        <w:t>Nicht vertraulich sind Informationen, die bereits öffentlich bekannt sind oder ohne Vertragsverletzung öffentlich werden, der empfangenden Partei nachweislich schon rechtmäßig bekannt waren, ihr ohne Geheimhaltungsbruch rechtmäßig von Dritten zugehen oder von ihr unabhängig ohne Verwendung der vertraulichen Informationen entwickelt werden. Die empfangende Partei legt auf begründete Nachfrage die Umstände der jeweils beanspruchten Ausnahme dar.</w:t>
      </w:r>
    </w:p>
    <w:p>
      <w:pPr>
        <w:pStyle w:val="Heading1"/>
      </w:pPr>
      <w:r>
        <w:t>3 Zweck und Personen</w:t>
      </w:r>
    </w:p>
    <w:p>
      <w:r>
        <w:t xml:space="preserve">Die Informationen dürfen ausschließlich zur Prüfung der gemeinsamen Entwicklung des Tischsensors Federlicht verwendet werden. Zugang erhalten eigene Beschäftigte sowie beruflich zur Verschwiegenheit verpflichtete rechtliche und steuerliche Berater, soweit sie die Informationen für diesen Zweck benötigen. Die Parteien informieren ihre Beschäftigten über diese Pflicht und beschränken den Zugriff auf den erforderlichen Umfang. </w:t>
      </w:r>
    </w:p>
    <w:p>
      <w:pPr>
        <w:pStyle w:val="Heading1"/>
      </w:pPr>
      <w:r>
        <w:t>4 Prototypen und Rechte</w:t>
      </w:r>
    </w:p>
    <w:p>
      <w:r>
        <w:t>Mit der Offenlegung werden weder Patente noch Urheberrechte oder sonstige Nutzungsrechte übertragen. Eine Partei darf die überlassenen Prototypen ohne Zustimmung der anderen Partei weder zerlegen noch rückentwickeln.  Ein Anspruch auf Abschluss eines Entwicklungs- oder Liefervertrags entsteht nicht. Keine Partei schuldet aufgrund dieser Vereinbarung eine Vergütung oder die Überlassung weiterer Informationen.</w:t>
      </w:r>
    </w:p>
    <w:p>
      <w:pPr>
        <w:pStyle w:val="Heading1"/>
      </w:pPr>
      <w:r>
        <w:t>5 Dauer</w:t>
      </w:r>
    </w:p>
    <w:p>
      <w:r>
        <w:t>Diese Vereinbarung gilt ab Unterzeichnung. Jede Partei kann die Gespräche in Textform beenden. Die Pflicht zur Geheimhaltung gewöhnlicher vertraulicher Informationen endet drei Jahre nach dem Zugang dieser Erklärung. Für Informationen, die Geschäftsgeheimnisse sind, dauert der Schutz darüber hinaus nur so lange an, wie die gesetzlichen Voraussetzungen des Geschäftsgeheimnisschutzes bestehen. Die vorstehend geregelten Ausnahmen bleiben während der gesamten Dauer anwendbar.</w:t>
      </w:r>
    </w:p>
    <w:p>
      <w:pPr>
        <w:pStyle w:val="Heading1"/>
      </w:pPr>
      <w:r>
        <w:t>6 Rückgabe und Löschung</w:t>
      </w:r>
    </w:p>
    <w:p>
      <w:r>
        <w:t>Nach einer Aufforderung in Textform gibt die empfangende Partei überlassene Unterlagen und Prototypen innerhalb von 20 Werktagen zurück und löscht produktive elektronische Kopien. Gesetzlich aufzubewahrende Unterlagen und eine gesperrte Belegkopie für die Rechtsverteidigung dürfen für den jeweils erforderlichen Zeitraum aufbewahrt werden. Aufbewahrte Informationen dürfen nur für diesen Zweck verwendet werden und bleiben geschützt.</w:t>
      </w:r>
    </w:p>
    <w:p>
      <w:r>
        <w:t>Automatisch erzeugte Sicherungskopien sind vom produktiven Zugriff zu sperren und im gewöhnlichen Sicherungszyklus spätestens nach 90 Tagen zu überschreiben. Bis dahin dürfen sie ausschließlich zur Wiederherstellung nach einem technischen Ausfall verwendet werden. Wiederhergestellte vertrauliche Informationen sind anschließend erneut nach dieser Vereinbarung zu behandeln. Die empfangende Partei bestätigt die Erledigung auf Nachfrage in Textform.</w:t>
      </w:r>
    </w:p>
    <w:p>
      <w:pPr>
        <w:pStyle w:val="Heading1"/>
      </w:pPr>
      <w:r>
        <w:t>7 Vertragsstrafe und Haftung</w:t>
      </w:r>
    </w:p>
    <w:p>
      <w:r>
        <w:t>Für eine schuldhafte Verletzung dieser Vereinbarung gelten die gesetzlichen Haftungsregeln. Eine Vertragsstrafe ist nicht vereinbart.</w:t>
      </w:r>
    </w:p>
    <w:p>
      <w:pPr>
        <w:pStyle w:val="Heading1"/>
      </w:pPr>
      <w:r>
        <w:t>8 Gesetzlich erforderliche Offenlegung</w:t>
      </w:r>
    </w:p>
    <w:p>
      <w:r>
        <w:t>Gesetzlich oder behördlich zwingend erforderliche Offenlegungen sind im erforderlichen Umfang erlaubt. Soweit rechtlich zulässig, informiert die empfangende Partei die andere Partei vorab und unterstützt angemessene Schutzmaßnahmen.</w:t>
      </w:r>
    </w:p>
    <w:p>
      <w:pPr>
        <w:pStyle w:val="Heading1"/>
      </w:pPr>
      <w:r>
        <w:t>9 Schlussbestimmungen</w:t>
      </w:r>
    </w:p>
    <w:p>
      <w:r>
        <w:t>Es gilt deutsches Recht. Ausschließlicher Gerichtsstand für Streitigkeiten zwischen den beiden Gesellschaften ist Berlin. Anlagen sind mit dieser ersten Fassung noch nicht vereinbart. Änderungen bedürfen einer Vereinbarung beider Parteien. Gesetzliche Formvorschriften bleiben unberührt.</w:t>
      </w:r>
    </w:p>
    <w:p>
      <w:pPr>
        <w:pStyle w:val="Heading1"/>
      </w:pPr>
      <w:r>
        <w:t>10 Unterzeichnung</w:t>
      </w:r>
    </w:p>
    <w:p>
      <w:r>
        <w:t>Diese Fassung ist ein noch nicht unterzeichneter Entwurf vom 18. September 2026. Als Unterschriftsberechtigte sind für Kupferfink Sensorik GmbH Mina Kupfer und für Lindenbogen Design GmbH Severin Bock vorgesehen. Die Unterzeichnung soll nach Abschluss der Vertragsprüfung in zwei gleichlautenden Exemplaren erfolgen.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Frühere Fassung der Geheimhaltungsvereinbarung Federlicht</dc:title>
  <dc:subject/>
  <dc:creator>Lindenbogen Design GmbH
Severin Bock, Geschäftsführer
Ateliergasse 7, 04107 Leipzig
severin@lindenbogen.example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