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Hartmut Fink</w:t>
        <w:br/>
        <w:t>Hardwareentwicklung Kupferfink</w:t>
        <w:br/>
        <w:t>hartmut@kupferfink.example</w:t>
      </w:r>
    </w:p>
    <w:p>
      <w:r>
        <w:t>Mina Kupfer</w:t>
      </w:r>
    </w:p>
    <w:p>
      <w:pPr>
        <w:pStyle w:val="Title"/>
      </w:pPr>
      <w:r>
        <w:t>Geplante Zugriffe im Projektraum Federlicht</w:t>
      </w:r>
    </w:p>
    <w:p>
      <w:r>
        <w:t>24.09.2026</w:t>
      </w:r>
    </w:p>
    <w:p>
      <w:pPr>
        <w:pStyle w:val="Heading1"/>
      </w:pPr>
      <w:r>
        <w:t>1 Einrichtung</w:t>
      </w:r>
    </w:p>
    <w:p>
      <w:r>
        <w:t>Für den Projektraum FED ist eine getrennte Gruppe geplant. Mina Kupfer und Hartmut Fink erhalten Verwaltungsrechte; Severin Bock soll Leserechte auf Gehäusemodell und Messreihen erhalten. Ein Download des Quellcodes ist nicht vorgesehen. Der Projektraum ist noch nicht geöffnet und enthält derzeit nur öffentliche Produktfotos.</w:t>
      </w:r>
    </w:p>
    <w:p>
      <w:pPr>
        <w:pStyle w:val="Heading1"/>
      </w:pPr>
      <w:r>
        <w:t>2 Externer Zugang</w:t>
      </w:r>
    </w:p>
    <w:p>
      <w:r>
        <w:t>Olga Kern soll nach Vorlage ihrer Verpflichtungserklärung eine persönliche zeitlich begrenzte Kennung erhalten. Eine Sammelkennung für das gesamte Atelier ist nicht vorgesehen. Jede Vergabe und Sperrung wird im Zugriffsprotokoll erfasst. Die Messingenieurin erhält nur die in der Anlage FED-AN1 genannten Daten.</w:t>
      </w:r>
    </w:p>
    <w:p>
      <w:pPr>
        <w:pStyle w:val="Heading1"/>
      </w:pPr>
      <w:r>
        <w:t>3 Offener technischer Punkt</w:t>
      </w:r>
    </w:p>
    <w:p>
      <w:r>
        <w:t>Für Sicherungskopien gilt der Zyklus des jeweiligen Unternehmensservers. Kupferfink kann die Einstellung bei Lindenbogen nicht selbst einsehen. Hartmut Fink hat bislang weder einen Administrationsauszug noch eine schriftliche Bestätigung erhalten. Die Projektleitung darf deshalb keine bestimmte tatsächliche Löschfrist zusichern.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Geplante Zugriffe im Projektraum Federlicht</dc:title>
  <dc:subject/>
  <dc:creator>Hartmut Fink
Hardwareentwicklung Kupferfink
hartmut@kupferfink.example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