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Stadt Musterstadt - Zentrale Vergabestelle</w:t>
            </w:r>
          </w:p>
          <w:p>
            <w:pPr>
              <w:spacing w:after="0"/>
            </w:pPr>
            <w:r>
              <w:rPr>
                <w:color w:val="646464"/>
                <w:sz w:val="18"/>
              </w:rPr>
              <w:t>Rathausplatz 1, 99999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20.08.2026</w:t>
              <w:br/>
            </w:r>
            <w:r>
              <w:rPr>
                <w:rFonts w:ascii="Times New Roman" w:hAnsi="Times New Roman"/>
                <w:color w:val="646464"/>
                <w:sz w:val="18"/>
              </w:rPr>
              <w:t>Aktenzeichen: VS-2026-RE-014</w:t>
              <w:br/>
            </w:r>
            <w:r>
              <w:rPr>
                <w:rFonts w:ascii="Times New Roman" w:hAnsi="Times New Roman"/>
                <w:color w:val="646464"/>
                <w:sz w:val="18"/>
              </w:rPr>
              <w:t>Nichtabhilfeentscheidung</w:t>
            </w:r>
          </w:p>
        </w:tc>
      </w:tr>
    </w:tbl>
    <w:p>
      <w:pPr>
        <w:spacing w:before="200" w:after="40"/>
      </w:pPr>
      <w:r>
        <w:rPr>
          <w:rFonts w:ascii="Times New Roman" w:hAnsi="Times New Roman"/>
          <w:color w:val="646464"/>
          <w:sz w:val="15"/>
        </w:rPr>
        <w:t>Stadt Musterstadt - Zentrale Vergabestelle · Rathausplatz 1, 99999 Musterstadt</w:t>
      </w:r>
    </w:p>
    <w:p>
      <w:pPr>
        <w:spacing w:after="240"/>
      </w:pPr>
      <w:r>
        <w:t>Rechtsanwälte Hesse &amp; Partner</w:t>
      </w:r>
    </w:p>
    <w:p>
      <w:pPr>
        <w:pStyle w:val="Title"/>
      </w:pPr>
      <w:r>
        <w:t>Rüge vom 17.08.2026 - keine Abhilfe</w:t>
      </w:r>
    </w:p>
    <w:p>
      <w:r>
        <w:t>Sehr geehrte Damen und Herren,</w:t>
      </w:r>
    </w:p>
    <w:p>
      <w:r>
        <w:t>der Rüge wird nicht abgeholfen.</w:t>
      </w:r>
    </w:p>
    <w:p>
      <w:pPr>
        <w:pStyle w:val="Heading1"/>
      </w:pPr>
      <w:r>
        <w:t>1. Vertretungsorganisation</w:t>
      </w:r>
    </w:p>
    <w:p>
      <w:pPr>
        <w:keepNext/>
        <w:keepLines/>
      </w:pPr>
      <w:r>
        <w:t>Bewertet wurde keine nachträglich eingeführte Mindestbesetzung. Der Bewertungsleitfaden verlangte eine belastbare Organisation für kurzfristige Personalausfälle. StadtGlanz benannte einen Pool von zwölf Kräften, ordnete diese aber keinem Reaktionsschema für die sechs Schulen zu. CleanCampus sagte demgegenüber eine Erreichbarkeit bis 06:00 Uhr, eine Ersatzgestellung binnen 90 Minuten und eine dokumentierte Eskalation an die Objektleitung zu. Die Punktebegründung wird im Vergabevermerk klarstellend um diese Fundstellen ergänzt; der Maßstab bleibt unverändert.</w:t>
      </w:r>
    </w:p>
    <w:p>
      <w:pPr>
        <w:pStyle w:val="Heading1"/>
        <w:keepNext/>
        <w:keepLines/>
      </w:pPr>
      <w:r>
        <w:t>2. Qualitätsbegehung</w:t>
      </w:r>
    </w:p>
    <w:p>
      <w:pPr>
        <w:keepNext/>
        <w:keepLines/>
      </w:pPr>
      <w:r>
        <w:t>Die gemeinsame Begehung wurde nicht als selbständiges Unterkriterium bewertet. Sie war ein Beleg für das bekannt gemachte Kontrollkonzept. Die Wertungsgruppe hat daneben Stichprobenplan, Mängelticket, Nachkontrolle und Berichtswesen einbezogen. Eine isolierte Zusatzpunktzahl für monatliche Begehungen existiert nicht.</w:t>
      </w:r>
    </w:p>
    <w:p>
      <w:pPr>
        <w:pStyle w:val="Heading1"/>
        <w:keepNext/>
        <w:keepLines/>
      </w:pPr>
      <w:r>
        <w:t>3. Vier-Augen-Prüfung</w:t>
      </w:r>
    </w:p>
    <w:tbl>
      <w:tblPr>
        <w:tblStyle w:val="TableGrid"/>
        <w:tblW w:type="dxa" w:w="9072"/>
        <w:jc w:val="left"/>
        <w:tblLayout w:type="fixed"/>
        <w:tblLook w:firstColumn="1" w:firstRow="1" w:lastColumn="0" w:lastRow="0" w:noHBand="0" w:noVBand="1" w:val="04A0"/>
      </w:tblPr>
      <w:tblGrid>
        <w:gridCol w:w="3015"/>
        <w:gridCol w:w="1967"/>
        <w:gridCol w:w="2123"/>
        <w:gridCol w:w="1967"/>
      </w:tblGrid>
      <w:tr>
        <w:trPr>
          <w:tblHeader w:val="true"/>
          <w:cantSplit/>
        </w:trPr>
        <w:tc>
          <w:tcPr>
            <w:tcW w:type="dxa" w:w="3015"/>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Prüfschritt</w:t>
            </w:r>
          </w:p>
        </w:tc>
        <w:tc>
          <w:tcPr>
            <w:tcW w:type="dxa" w:w="1967"/>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Erstwertung</w:t>
            </w:r>
          </w:p>
        </w:tc>
        <w:tc>
          <w:tcPr>
            <w:tcW w:type="dxa" w:w="2123"/>
            <w:vAlign w:val="top"/>
            <w:tcMar>
              <w:top w:w="60" w:type="dxa"/>
              <w:start w:w="90" w:type="dxa"/>
              <w:bottom w:w="60" w:type="dxa"/>
              <w:end w:w="90" w:type="dxa"/>
            </w:tcMar>
            <w:shd w:fill="01696F"/>
          </w:tcPr>
          <w:p>
            <w:pPr>
              <w:keepLines/>
              <w:spacing w:after="0"/>
            </w:pPr>
            <w:r/>
            <w:r>
              <w:rPr>
                <w:rFonts w:ascii="Times New Roman" w:hAnsi="Times New Roman"/>
                <w:b/>
                <w:color w:val="FFFFFF"/>
                <w:sz w:val="17"/>
              </w:rPr>
              <w:t>Kontrollwertung</w:t>
            </w:r>
          </w:p>
        </w:tc>
        <w:tc>
          <w:tcPr>
            <w:tcW w:type="dxa" w:w="1967"/>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Ergebnis</w:t>
            </w:r>
          </w:p>
        </w:tc>
      </w:tr>
      <w:tr>
        <w:trPr>
          <w:cantSplit/>
        </w:trPr>
        <w:tc>
          <w:tcPr>
            <w:tcW w:type="dxa" w:w="3015"/>
            <w:vAlign w:val="top"/>
            <w:tcMar>
              <w:top w:w="60" w:type="dxa"/>
              <w:start w:w="90" w:type="dxa"/>
              <w:bottom w:w="60" w:type="dxa"/>
              <w:end w:w="90" w:type="dxa"/>
            </w:tcMar>
          </w:tcPr>
          <w:p>
            <w:pPr>
              <w:keepLines/>
              <w:spacing w:after="0"/>
            </w:pPr>
            <w:r/>
            <w:r>
              <w:rPr>
                <w:rFonts w:ascii="Times New Roman" w:hAnsi="Times New Roman"/>
                <w:sz w:val="17"/>
              </w:rPr>
              <w:t>Vertretungsorganisation StadtGlanz</w:t>
            </w:r>
          </w:p>
        </w:tc>
        <w:tc>
          <w:tcPr>
            <w:tcW w:type="dxa" w:w="1967"/>
            <w:vAlign w:val="top"/>
            <w:tcMar>
              <w:top w:w="60" w:type="dxa"/>
              <w:start w:w="90" w:type="dxa"/>
              <w:bottom w:w="60" w:type="dxa"/>
              <w:end w:w="90" w:type="dxa"/>
            </w:tcMar>
          </w:tcPr>
          <w:p>
            <w:pPr>
              <w:keepLines/>
              <w:spacing w:after="0"/>
            </w:pPr>
            <w:r/>
            <w:r>
              <w:rPr>
                <w:rFonts w:ascii="Times New Roman" w:hAnsi="Times New Roman"/>
                <w:sz w:val="17"/>
              </w:rPr>
              <w:t>8,60</w:t>
            </w:r>
          </w:p>
        </w:tc>
        <w:tc>
          <w:tcPr>
            <w:tcW w:type="dxa" w:w="2123"/>
            <w:vAlign w:val="top"/>
            <w:tcMar>
              <w:top w:w="60" w:type="dxa"/>
              <w:start w:w="90" w:type="dxa"/>
              <w:bottom w:w="60" w:type="dxa"/>
              <w:end w:w="90" w:type="dxa"/>
            </w:tcMar>
          </w:tcPr>
          <w:p>
            <w:pPr>
              <w:keepLines/>
              <w:spacing w:after="0"/>
            </w:pPr>
            <w:r/>
            <w:r>
              <w:rPr>
                <w:rFonts w:ascii="Times New Roman" w:hAnsi="Times New Roman"/>
                <w:sz w:val="17"/>
              </w:rPr>
              <w:t>8,60</w:t>
            </w:r>
          </w:p>
        </w:tc>
        <w:tc>
          <w:tcPr>
            <w:tcW w:type="dxa" w:w="1967"/>
            <w:vAlign w:val="top"/>
            <w:tcMar>
              <w:top w:w="60" w:type="dxa"/>
              <w:start w:w="90" w:type="dxa"/>
              <w:bottom w:w="60" w:type="dxa"/>
              <w:end w:w="90" w:type="dxa"/>
            </w:tcMar>
          </w:tcPr>
          <w:p>
            <w:pPr>
              <w:keepLines/>
              <w:spacing w:after="0"/>
            </w:pPr>
            <w:r/>
            <w:r>
              <w:rPr>
                <w:rFonts w:ascii="Times New Roman" w:hAnsi="Times New Roman"/>
                <w:sz w:val="17"/>
              </w:rPr>
              <w:t>bestätigt</w:t>
            </w:r>
          </w:p>
        </w:tc>
      </w:tr>
      <w:tr>
        <w:trPr>
          <w:cantSplit/>
        </w:trPr>
        <w:tc>
          <w:tcPr>
            <w:tcW w:type="dxa" w:w="3015"/>
            <w:vAlign w:val="top"/>
            <w:tcMar>
              <w:top w:w="60" w:type="dxa"/>
              <w:start w:w="90" w:type="dxa"/>
              <w:bottom w:w="60" w:type="dxa"/>
              <w:end w:w="90" w:type="dxa"/>
            </w:tcMar>
            <w:shd w:fill="F1F3F3"/>
          </w:tcPr>
          <w:p>
            <w:pPr>
              <w:keepLines/>
              <w:spacing w:after="0"/>
            </w:pPr>
            <w:r/>
            <w:r>
              <w:rPr>
                <w:rFonts w:ascii="Times New Roman" w:hAnsi="Times New Roman"/>
                <w:sz w:val="17"/>
              </w:rPr>
              <w:t>Kontrollkonzept CleanCampus</w:t>
            </w:r>
          </w:p>
        </w:tc>
        <w:tc>
          <w:tcPr>
            <w:tcW w:type="dxa" w:w="1967"/>
            <w:vAlign w:val="top"/>
            <w:tcMar>
              <w:top w:w="60" w:type="dxa"/>
              <w:start w:w="90" w:type="dxa"/>
              <w:bottom w:w="60" w:type="dxa"/>
              <w:end w:w="90" w:type="dxa"/>
            </w:tcMar>
            <w:shd w:fill="F1F3F3"/>
          </w:tcPr>
          <w:p>
            <w:pPr>
              <w:keepLines/>
              <w:spacing w:after="0"/>
            </w:pPr>
            <w:r/>
            <w:r>
              <w:rPr>
                <w:rFonts w:ascii="Times New Roman" w:hAnsi="Times New Roman"/>
                <w:sz w:val="17"/>
              </w:rPr>
              <w:t>9,50</w:t>
            </w:r>
          </w:p>
        </w:tc>
        <w:tc>
          <w:tcPr>
            <w:tcW w:type="dxa" w:w="2123"/>
            <w:vAlign w:val="top"/>
            <w:tcMar>
              <w:top w:w="60" w:type="dxa"/>
              <w:start w:w="90" w:type="dxa"/>
              <w:bottom w:w="60" w:type="dxa"/>
              <w:end w:w="90" w:type="dxa"/>
            </w:tcMar>
            <w:shd w:fill="F1F3F3"/>
          </w:tcPr>
          <w:p>
            <w:pPr>
              <w:keepLines/>
              <w:spacing w:after="0"/>
            </w:pPr>
            <w:r/>
            <w:r>
              <w:rPr>
                <w:rFonts w:ascii="Times New Roman" w:hAnsi="Times New Roman"/>
                <w:sz w:val="17"/>
              </w:rPr>
              <w:t>9,50</w:t>
            </w:r>
          </w:p>
        </w:tc>
        <w:tc>
          <w:tcPr>
            <w:tcW w:type="dxa" w:w="1967"/>
            <w:vAlign w:val="top"/>
            <w:tcMar>
              <w:top w:w="60" w:type="dxa"/>
              <w:start w:w="90" w:type="dxa"/>
              <w:bottom w:w="60" w:type="dxa"/>
              <w:end w:w="90" w:type="dxa"/>
            </w:tcMar>
            <w:shd w:fill="F1F3F3"/>
          </w:tcPr>
          <w:p>
            <w:pPr>
              <w:keepLines/>
              <w:spacing w:after="0"/>
            </w:pPr>
            <w:r/>
            <w:r>
              <w:rPr>
                <w:rFonts w:ascii="Times New Roman" w:hAnsi="Times New Roman"/>
                <w:sz w:val="17"/>
              </w:rPr>
              <w:t>bestätigt</w:t>
            </w:r>
          </w:p>
        </w:tc>
      </w:tr>
      <w:tr>
        <w:trPr>
          <w:cantSplit/>
        </w:trPr>
        <w:tc>
          <w:tcPr>
            <w:tcW w:type="dxa" w:w="3015"/>
            <w:vAlign w:val="top"/>
            <w:tcMar>
              <w:top w:w="60" w:type="dxa"/>
              <w:start w:w="90" w:type="dxa"/>
              <w:bottom w:w="60" w:type="dxa"/>
              <w:end w:w="90" w:type="dxa"/>
            </w:tcMar>
          </w:tcPr>
          <w:p>
            <w:pPr>
              <w:keepLines/>
              <w:spacing w:after="0"/>
            </w:pPr>
            <w:r/>
            <w:r>
              <w:rPr>
                <w:rFonts w:ascii="Times New Roman" w:hAnsi="Times New Roman"/>
                <w:sz w:val="17"/>
              </w:rPr>
              <w:t>Rechenweg Gesamtwertung</w:t>
            </w:r>
          </w:p>
        </w:tc>
        <w:tc>
          <w:tcPr>
            <w:tcW w:type="dxa" w:w="1967"/>
            <w:vAlign w:val="top"/>
            <w:tcMar>
              <w:top w:w="60" w:type="dxa"/>
              <w:start w:w="90" w:type="dxa"/>
              <w:bottom w:w="60" w:type="dxa"/>
              <w:end w:w="90" w:type="dxa"/>
            </w:tcMar>
          </w:tcPr>
          <w:p>
            <w:pPr>
              <w:keepLines/>
              <w:spacing w:after="0"/>
            </w:pPr>
            <w:r/>
            <w:r>
              <w:rPr>
                <w:rFonts w:ascii="Times New Roman" w:hAnsi="Times New Roman"/>
                <w:sz w:val="17"/>
              </w:rPr>
              <w:t>92,03 / 92,70</w:t>
            </w:r>
          </w:p>
        </w:tc>
        <w:tc>
          <w:tcPr>
            <w:tcW w:type="dxa" w:w="2123"/>
            <w:vAlign w:val="top"/>
            <w:tcMar>
              <w:top w:w="60" w:type="dxa"/>
              <w:start w:w="90" w:type="dxa"/>
              <w:bottom w:w="60" w:type="dxa"/>
              <w:end w:w="90" w:type="dxa"/>
            </w:tcMar>
          </w:tcPr>
          <w:p>
            <w:pPr>
              <w:keepLines/>
              <w:spacing w:after="0"/>
            </w:pPr>
            <w:r/>
            <w:r>
              <w:rPr>
                <w:rFonts w:ascii="Times New Roman" w:hAnsi="Times New Roman"/>
                <w:sz w:val="17"/>
              </w:rPr>
              <w:t>92,03 / 92,70</w:t>
            </w:r>
          </w:p>
        </w:tc>
        <w:tc>
          <w:tcPr>
            <w:tcW w:type="dxa" w:w="1967"/>
            <w:vAlign w:val="top"/>
            <w:tcMar>
              <w:top w:w="60" w:type="dxa"/>
              <w:start w:w="90" w:type="dxa"/>
              <w:bottom w:w="60" w:type="dxa"/>
              <w:end w:w="90" w:type="dxa"/>
            </w:tcMar>
          </w:tcPr>
          <w:p>
            <w:pPr>
              <w:keepLines/>
              <w:spacing w:after="0"/>
            </w:pPr>
            <w:r/>
            <w:r>
              <w:rPr>
                <w:rFonts w:ascii="Times New Roman" w:hAnsi="Times New Roman"/>
                <w:sz w:val="17"/>
              </w:rPr>
              <w:t>bestätigt</w:t>
            </w:r>
          </w:p>
        </w:tc>
      </w:tr>
    </w:tbl>
    <w:p>
      <w:pPr>
        <w:spacing w:after="0" w:before="40"/>
      </w:pPr>
    </w:p>
    <w:p>
      <w:pPr>
        <w:keepNext/>
        <w:keepLines/>
      </w:pPr>
      <w:r>
        <w:t>Die Stillhaltefrist wird durch dieses Schreiben nicht neu in Lauf gesetzt. Ein Nachprüfungsantrag ist nach Maßgabe des § 160 Abs. 3 Satz 1 Nr. 4 GWB fristgebunden. Bis zum Ablauf der mit dem Informationsschreiben mitgeteilten Wartefrist wird kein Zuschlag erteilt.</w:t>
      </w:r>
    </w:p>
    <w:p>
      <w:pPr>
        <w:keepNext/>
        <w:keepLines/>
      </w:pPr>
      <w:r>
        <w:t>Mit freundlichen Grüßen</w:t>
      </w:r>
    </w:p>
    <w:p>
      <w:pPr>
        <w:keepLines/>
      </w:pPr>
      <w:r>
        <w:t>Stadt Musterstadt Zentrale Vergabestelle</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VS-2026-RE-014</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Stadt Musterstadt - Zentrale Vergabestelle</w:t>
      <w:t xml:space="preserve">  |  VS-2026-RE-014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Rüge vom 17.08.2026 - keine Abhilfe</dc:title>
  <dc:subject>Nichtabhilfeentscheidung | Az. VS-2026-RE-014</dc:subject>
  <dc:creator>Stadt Musterstadt - Zentrale Vergabestelle</dc:creator>
  <cp:keywords>Vergaberecht, VS-2026-RE-014, Nichtabhilfeentscheidung</cp:keywords>
  <dc:description>generated by python-docx</dc:description>
  <cp:lastModifiedBy>Stadt Musterstadt - Zentrale Vergabestelle</cp:lastModifiedBy>
  <cp:revision>1</cp:revision>
  <dcterms:created xsi:type="dcterms:W3CDTF">2000-01-01T00:00:00Z</dcterms:created>
  <dcterms:modified xsi:type="dcterms:W3CDTF">2000-01-01T00:00:00Z</dcterms:modified>
  <cp:category>Vergabeakte</cp:category>
</cp:coreProperties>
</file>