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Rechtsanwälte Hesse &amp; Partner</w:t>
            </w:r>
          </w:p>
          <w:p>
            <w:pPr>
              <w:spacing w:after="0"/>
            </w:pPr>
            <w:r>
              <w:rPr>
                <w:color w:val="646464"/>
                <w:sz w:val="18"/>
              </w:rPr>
              <w:t>Marktstraße 18, 99999 Musterstadt</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21.08.2026</w:t>
              <w:br/>
            </w:r>
            <w:r>
              <w:rPr>
                <w:rFonts w:ascii="Times New Roman" w:hAnsi="Times New Roman"/>
                <w:color w:val="646464"/>
                <w:sz w:val="18"/>
              </w:rPr>
              <w:t>Aktenzeichen: HP-214/26 / VS-2026-RE-014</w:t>
              <w:br/>
            </w:r>
            <w:r>
              <w:rPr>
                <w:rFonts w:ascii="Times New Roman" w:hAnsi="Times New Roman"/>
                <w:color w:val="646464"/>
                <w:sz w:val="18"/>
              </w:rPr>
              <w:t>Nachprüfungsantrag</w:t>
            </w:r>
          </w:p>
        </w:tc>
      </w:tr>
    </w:tbl>
    <w:p>
      <w:pPr>
        <w:spacing w:before="200" w:after="40"/>
      </w:pPr>
      <w:r>
        <w:rPr>
          <w:rFonts w:ascii="Times New Roman" w:hAnsi="Times New Roman"/>
          <w:color w:val="646464"/>
          <w:sz w:val="15"/>
        </w:rPr>
        <w:t>Rechtsanwälte Hesse &amp; Partner · Marktstraße 18, 99999 Musterstadt</w:t>
      </w:r>
    </w:p>
    <w:p>
      <w:pPr>
        <w:spacing w:after="240"/>
      </w:pPr>
      <w:r>
        <w:t>Zuständige Vergabekammer Musterland</w:t>
      </w:r>
    </w:p>
    <w:p>
      <w:pPr>
        <w:pStyle w:val="Title"/>
      </w:pPr>
      <w:r>
        <w:t>Nachprüfungsantrag StadtGlanz Service GmbH</w:t>
      </w:r>
    </w:p>
    <w:p>
      <w:r>
        <w:t>Namens und in Vollmacht der StadtGlanz Service GmbH beantragen wir,</w:t>
      </w:r>
    </w:p>
    <w:p>
      <w:pPr>
        <w:pStyle w:val="ListNumber"/>
      </w:pPr>
      <w:r>
        <w:t>der Antragsgegnerin zu untersagen, den Zuschlag auf Grundlage der bisherigen Wertung zu erteilen,</w:t>
      </w:r>
    </w:p>
    <w:p>
      <w:pPr>
        <w:pStyle w:val="ListNumber"/>
      </w:pPr>
      <w:r>
        <w:t>die Antragsgegnerin zu verpflichten, die Qualitätswertung unter Beachtung der Rechtsauffassung der Vergabekammer zu wiederholen,</w:t>
      </w:r>
    </w:p>
    <w:p>
      <w:pPr>
        <w:pStyle w:val="ListNumber"/>
      </w:pPr>
      <w:r>
        <w:t>der Antragstellerin Einsicht in den Wertungsvermerk, die Einzelbegründungen und die für den Wertungsabstand maßgeblichen Angebotsauszüge zu gewähren, soweit Geschäftsgeheimnisse dem nicht entgegenstehen,</w:t>
      </w:r>
    </w:p>
    <w:p>
      <w:pPr>
        <w:pStyle w:val="ListNumber"/>
      </w:pPr>
      <w:r>
        <w:t>die Hinzuziehung der Verfahrensbevollmächtigten für notwendig zu erklären.</w:t>
      </w:r>
    </w:p>
    <w:p>
      <w:pPr>
        <w:pStyle w:val="Heading1"/>
      </w:pPr>
      <w:r>
        <w:t>1. Zulässigkeit</w:t>
      </w:r>
    </w:p>
    <w:p>
      <w:pPr>
        <w:keepNext/>
        <w:keepLines/>
      </w:pPr>
      <w:r>
        <w:t>Die Antragstellerin hat ein wertbares Angebot abgegeben und liegt nach Mitteilung der Antragsgegnerin auf Rang 2. Bei einer Korrektur um weniger als einen Punkt besteht eine konkrete Zuschlagschance. Die gerügten Wertungsgründe wurden erstmals aus dem am 13.08.2026 zugegangenen Informationsschreiben erkennbar. Die Rüge ging am 17.08.2026 ein; die Nichtabhilfe wurde am 20.08.2026 übermittelt. Der Antrag geht am 21.08.2026 und damit vor dem im Informationsschreiben genannten frühesten Zuschlagstermin bei der Vergabekammer ein.</w:t>
      </w:r>
    </w:p>
    <w:p>
      <w:pPr>
        <w:pStyle w:val="Heading1"/>
        <w:keepNext/>
        <w:keepLines/>
      </w:pPr>
      <w:r>
        <w:t>2. Begründetheit</w:t>
      </w:r>
    </w:p>
    <w:p>
      <w:pPr>
        <w:keepNext/>
        <w:keepLines/>
      </w:pPr>
      <w:r>
        <w:t>Die Vergabestelle durfte die bekannt gemachten Qualitätskriterien fachlich ausfüllen, aber keine neue Mindestanforderung oder verdeckte Untergewichtung einführen. Die Nichtabhilfe benennt erstmals eine Ersatzgestellung binnen 90 Minuten und ein konkretes Eskalationsschema. Ob diese Gesichtspunkte bereits im ursprünglichen Wertungsvermerk tragend dokumentiert waren oder erst nach der Rüge ergänzt wurden, ist aktenklärungsbedürftig. Entsprechendes gilt für die gemeinsame Qualitätsbegehung.</w:t>
      </w:r>
    </w:p>
    <w:p>
      <w:pPr>
        <w:pStyle w:val="Heading1"/>
        <w:keepNext/>
        <w:keepLines/>
      </w:pPr>
      <w:r>
        <w:t>3. Beweismittel und Akteneinsichtsziele</w:t>
      </w:r>
    </w:p>
    <w:tbl>
      <w:tblPr>
        <w:tblStyle w:val="TableGrid"/>
        <w:tblW w:type="dxa" w:w="9070"/>
        <w:jc w:val="left"/>
        <w:tblLayout w:type="fixed"/>
        <w:tblLook w:firstColumn="1" w:firstRow="1" w:lastColumn="0" w:lastRow="0" w:noHBand="0" w:noVBand="1" w:val="04A0"/>
      </w:tblPr>
      <w:tblGrid>
        <w:gridCol w:w="2652"/>
        <w:gridCol w:w="3045"/>
        <w:gridCol w:w="3373"/>
      </w:tblGrid>
      <w:tr>
        <w:trPr>
          <w:tblHeader w:val="true"/>
          <w:cantSplit/>
        </w:trPr>
        <w:tc>
          <w:tcPr>
            <w:tcW w:type="dxa" w:w="265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Behauptung</w:t>
            </w:r>
          </w:p>
        </w:tc>
        <w:tc>
          <w:tcPr>
            <w:tcW w:type="dxa" w:w="3045"/>
            <w:vAlign w:val="top"/>
            <w:tcMar>
              <w:top w:w="60" w:type="dxa"/>
              <w:start w:w="90" w:type="dxa"/>
              <w:bottom w:w="60" w:type="dxa"/>
              <w:end w:w="90" w:type="dxa"/>
            </w:tcMar>
            <w:shd w:fill="01696F"/>
          </w:tcPr>
          <w:p>
            <w:pPr>
              <w:keepLines/>
              <w:spacing w:after="0"/>
            </w:pPr>
            <w:r/>
            <w:r>
              <w:rPr>
                <w:rFonts w:ascii="Times New Roman" w:hAnsi="Times New Roman"/>
                <w:b/>
                <w:color w:val="FFFFFF"/>
                <w:sz w:val="17"/>
              </w:rPr>
              <w:t>vorhandener Beleg</w:t>
            </w:r>
          </w:p>
        </w:tc>
        <w:tc>
          <w:tcPr>
            <w:tcW w:type="dxa" w:w="3373"/>
            <w:vAlign w:val="top"/>
            <w:tcMar>
              <w:top w:w="60" w:type="dxa"/>
              <w:start w:w="90" w:type="dxa"/>
              <w:bottom w:w="60" w:type="dxa"/>
              <w:end w:w="90" w:type="dxa"/>
            </w:tcMar>
            <w:shd w:fill="01696F"/>
          </w:tcPr>
          <w:p>
            <w:pPr>
              <w:keepLines/>
              <w:spacing w:after="0"/>
            </w:pPr>
            <w:r/>
            <w:r>
              <w:rPr>
                <w:rFonts w:ascii="Times New Roman" w:hAnsi="Times New Roman"/>
                <w:b/>
                <w:color w:val="FFFFFF"/>
                <w:sz w:val="17"/>
              </w:rPr>
              <w:t>Akteneinsichtsziel</w:t>
            </w:r>
          </w:p>
        </w:tc>
      </w:tr>
      <w:tr>
        <w:trPr>
          <w:cantSplit/>
        </w:trPr>
        <w:tc>
          <w:tcPr>
            <w:tcW w:type="dxa" w:w="2652"/>
            <w:vAlign w:val="top"/>
            <w:tcMar>
              <w:top w:w="60" w:type="dxa"/>
              <w:start w:w="90" w:type="dxa"/>
              <w:bottom w:w="60" w:type="dxa"/>
              <w:end w:w="90" w:type="dxa"/>
            </w:tcMar>
          </w:tcPr>
          <w:p>
            <w:pPr>
              <w:keepLines/>
              <w:spacing w:after="0"/>
            </w:pPr>
            <w:r/>
            <w:r>
              <w:rPr>
                <w:rFonts w:ascii="Times New Roman" w:hAnsi="Times New Roman"/>
                <w:sz w:val="17"/>
              </w:rPr>
              <w:t>knapper Rangabstand</w:t>
            </w:r>
          </w:p>
        </w:tc>
        <w:tc>
          <w:tcPr>
            <w:tcW w:type="dxa" w:w="3045"/>
            <w:vAlign w:val="top"/>
            <w:tcMar>
              <w:top w:w="60" w:type="dxa"/>
              <w:start w:w="90" w:type="dxa"/>
              <w:bottom w:w="60" w:type="dxa"/>
              <w:end w:w="90" w:type="dxa"/>
            </w:tcMar>
          </w:tcPr>
          <w:p>
            <w:pPr>
              <w:keepLines/>
              <w:spacing w:after="0"/>
            </w:pPr>
            <w:r/>
            <w:r>
              <w:rPr>
                <w:rFonts w:ascii="Times New Roman" w:hAnsi="Times New Roman"/>
                <w:sz w:val="17"/>
              </w:rPr>
              <w:t>§-134-Schreiben</w:t>
            </w:r>
          </w:p>
        </w:tc>
        <w:tc>
          <w:tcPr>
            <w:tcW w:type="dxa" w:w="3373"/>
            <w:vAlign w:val="top"/>
            <w:tcMar>
              <w:top w:w="60" w:type="dxa"/>
              <w:start w:w="90" w:type="dxa"/>
              <w:bottom w:w="60" w:type="dxa"/>
              <w:end w:w="90" w:type="dxa"/>
            </w:tcMar>
          </w:tcPr>
          <w:p>
            <w:pPr>
              <w:keepLines/>
              <w:spacing w:after="0"/>
            </w:pPr>
            <w:r/>
            <w:r>
              <w:rPr>
                <w:rFonts w:ascii="Times New Roman" w:hAnsi="Times New Roman"/>
                <w:sz w:val="17"/>
              </w:rPr>
              <w:t>vollständige Rechentabelle</w:t>
            </w:r>
          </w:p>
        </w:tc>
      </w:tr>
      <w:tr>
        <w:trPr>
          <w:cantSplit/>
        </w:trPr>
        <w:tc>
          <w:tcPr>
            <w:tcW w:type="dxa" w:w="2652"/>
            <w:vAlign w:val="top"/>
            <w:tcMar>
              <w:top w:w="60" w:type="dxa"/>
              <w:start w:w="90" w:type="dxa"/>
              <w:bottom w:w="60" w:type="dxa"/>
              <w:end w:w="90" w:type="dxa"/>
            </w:tcMar>
            <w:shd w:fill="F1F3F3"/>
          </w:tcPr>
          <w:p>
            <w:pPr>
              <w:keepLines/>
              <w:spacing w:after="0"/>
            </w:pPr>
            <w:r/>
            <w:r>
              <w:rPr>
                <w:rFonts w:ascii="Times New Roman" w:hAnsi="Times New Roman"/>
                <w:sz w:val="17"/>
              </w:rPr>
              <w:t>möglicher neuer Maßstab</w:t>
            </w:r>
          </w:p>
        </w:tc>
        <w:tc>
          <w:tcPr>
            <w:tcW w:type="dxa" w:w="3045"/>
            <w:vAlign w:val="top"/>
            <w:tcMar>
              <w:top w:w="60" w:type="dxa"/>
              <w:start w:w="90" w:type="dxa"/>
              <w:bottom w:w="60" w:type="dxa"/>
              <w:end w:w="90" w:type="dxa"/>
            </w:tcMar>
            <w:shd w:fill="F1F3F3"/>
          </w:tcPr>
          <w:p>
            <w:pPr>
              <w:keepLines/>
              <w:spacing w:after="0"/>
            </w:pPr>
            <w:r/>
            <w:r>
              <w:rPr>
                <w:rFonts w:ascii="Times New Roman" w:hAnsi="Times New Roman"/>
                <w:sz w:val="17"/>
              </w:rPr>
              <w:t>Bewertungsleitfaden und Nichtabhilfe</w:t>
            </w:r>
          </w:p>
        </w:tc>
        <w:tc>
          <w:tcPr>
            <w:tcW w:type="dxa" w:w="3373"/>
            <w:vAlign w:val="top"/>
            <w:tcMar>
              <w:top w:w="60" w:type="dxa"/>
              <w:start w:w="90" w:type="dxa"/>
              <w:bottom w:w="60" w:type="dxa"/>
              <w:end w:w="90" w:type="dxa"/>
            </w:tcMar>
            <w:shd w:fill="F1F3F3"/>
          </w:tcPr>
          <w:p>
            <w:pPr>
              <w:keepLines/>
              <w:spacing w:after="0"/>
            </w:pPr>
            <w:r/>
            <w:r>
              <w:rPr>
                <w:rFonts w:ascii="Times New Roman" w:hAnsi="Times New Roman"/>
                <w:sz w:val="17"/>
              </w:rPr>
              <w:t>zeitnah erstellter Wertungsvermerk mit Version</w:t>
            </w:r>
          </w:p>
        </w:tc>
      </w:tr>
      <w:tr>
        <w:trPr>
          <w:cantSplit/>
        </w:trPr>
        <w:tc>
          <w:tcPr>
            <w:tcW w:type="dxa" w:w="2652"/>
            <w:vAlign w:val="top"/>
            <w:tcMar>
              <w:top w:w="60" w:type="dxa"/>
              <w:start w:w="90" w:type="dxa"/>
              <w:bottom w:w="60" w:type="dxa"/>
              <w:end w:w="90" w:type="dxa"/>
            </w:tcMar>
          </w:tcPr>
          <w:p>
            <w:pPr>
              <w:keepLines/>
              <w:spacing w:after="0"/>
            </w:pPr>
            <w:r/>
            <w:r>
              <w:rPr>
                <w:rFonts w:ascii="Times New Roman" w:hAnsi="Times New Roman"/>
                <w:sz w:val="17"/>
              </w:rPr>
              <w:t>mögliche nachträgliche Ergänzung</w:t>
            </w:r>
          </w:p>
        </w:tc>
        <w:tc>
          <w:tcPr>
            <w:tcW w:type="dxa" w:w="3045"/>
            <w:vAlign w:val="top"/>
            <w:tcMar>
              <w:top w:w="60" w:type="dxa"/>
              <w:start w:w="90" w:type="dxa"/>
              <w:bottom w:w="60" w:type="dxa"/>
              <w:end w:w="90" w:type="dxa"/>
            </w:tcMar>
          </w:tcPr>
          <w:p>
            <w:pPr>
              <w:keepLines/>
              <w:spacing w:after="0"/>
            </w:pPr>
            <w:r/>
            <w:r>
              <w:rPr>
                <w:rFonts w:ascii="Times New Roman" w:hAnsi="Times New Roman"/>
                <w:sz w:val="17"/>
              </w:rPr>
              <w:t>Nichtabhilfe vom 20.08.2026</w:t>
            </w:r>
          </w:p>
        </w:tc>
        <w:tc>
          <w:tcPr>
            <w:tcW w:type="dxa" w:w="3373"/>
            <w:vAlign w:val="top"/>
            <w:tcMar>
              <w:top w:w="60" w:type="dxa"/>
              <w:start w:w="90" w:type="dxa"/>
              <w:bottom w:w="60" w:type="dxa"/>
              <w:end w:w="90" w:type="dxa"/>
            </w:tcMar>
          </w:tcPr>
          <w:p>
            <w:pPr>
              <w:keepLines/>
              <w:spacing w:after="0"/>
            </w:pPr>
            <w:r/>
            <w:r>
              <w:rPr>
                <w:rFonts w:ascii="Times New Roman" w:hAnsi="Times New Roman"/>
                <w:sz w:val="17"/>
              </w:rPr>
              <w:t>Bearbeitungsverlauf und Freigabezeitpunkte</w:t>
            </w:r>
          </w:p>
        </w:tc>
      </w:tr>
    </w:tbl>
    <w:p>
      <w:pPr>
        <w:spacing w:after="0" w:before="40"/>
      </w:pPr>
    </w:p>
    <w:p>
      <w:pPr>
        <w:keepLines/>
      </w:pPr>
      <w:r>
        <w:t>Die Antragstellerin behauptet keine Kenntnis geschützter Angebotsinhalte. Sie benötigt allein die tragenden Bewertungsdaten und akzeptiert sachgerechte Schwärzungen.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HP-214/26 / VS-2026-RE-014</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Rechtsanwälte Hesse &amp; Partner</w:t>
      <w:t xml:space="preserve">  |  HP-214/26 / VS-2026-RE-014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Nachprüfungsantrag StadtGlanz Service GmbH</dc:title>
  <dc:subject>Nachprüfungsantrag | Az. HP-214/26 / VS-2026-RE-014</dc:subject>
  <dc:creator>Rechtsanwälte Hesse &amp; Partner</dc:creator>
  <cp:keywords>Vergaberecht, HP-214/26 / VS-2026-RE-014, Nachprüfungsantrag</cp:keywords>
  <dc:description>generated by python-docx</dc:description>
  <cp:lastModifiedBy>Rechtsanwälte Hesse &amp; Partner</cp:lastModifiedBy>
  <cp:revision>1</cp:revision>
  <dcterms:created xsi:type="dcterms:W3CDTF">2000-01-01T00:00:00Z</dcterms:created>
  <dcterms:modified xsi:type="dcterms:W3CDTF">2000-01-01T00:00:00Z</dcterms:modified>
  <cp:category>Vergabeakte</cp:category>
</cp:coreProperties>
</file>