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21.08.2026</w:t>
              <w:br/>
            </w:r>
            <w:r>
              <w:rPr>
                <w:rFonts w:ascii="Times New Roman" w:hAnsi="Times New Roman"/>
                <w:color w:val="646464"/>
                <w:sz w:val="18"/>
              </w:rPr>
              <w:t>Aktenzeichen: VK ML 9-27/26</w:t>
              <w:br/>
            </w:r>
            <w:r>
              <w:rPr>
                <w:rFonts w:ascii="Times New Roman" w:hAnsi="Times New Roman"/>
                <w:color w:val="646464"/>
                <w:sz w:val="18"/>
              </w:rPr>
              <w:t>Verfahrensleitende Verfügung</w:t>
            </w:r>
          </w:p>
        </w:tc>
      </w:tr>
    </w:tbl>
    <w:p>
      <w:pPr>
        <w:spacing w:before="200" w:after="40"/>
      </w:pPr>
      <w:r>
        <w:rPr>
          <w:rFonts w:ascii="Times New Roman" w:hAnsi="Times New Roman"/>
          <w:color w:val="646464"/>
          <w:sz w:val="15"/>
        </w:rPr>
        <w:t>Vergabekammer des Landes Musterland · Rathausplatz 1, 99999 Musterstadt</w:t>
      </w:r>
    </w:p>
    <w:p>
      <w:pPr>
        <w:spacing w:after="240"/>
      </w:pPr>
      <w:r>
        <w:t>Stadt Musterstadt, StadtGlanz Service GmbH und CleanCampus GmbH</w:t>
      </w:r>
    </w:p>
    <w:p>
      <w:pPr>
        <w:pStyle w:val="Title"/>
      </w:pPr>
      <w:r>
        <w:t>Nachprüfungsverfahren Unterhalts- und Glasreinigung</w:t>
      </w:r>
    </w:p>
    <w:p>
      <w:r>
        <w:t>In dem Nachprüfungsverfahren der StadtGlanz Service GmbH gegen die Stadt Musterstadt wird der Nachprüfungsantrag vom 21.08.2026 der Antragsgegnerin übermittelt.</w:t>
      </w:r>
    </w:p>
    <w:p>
      <w:pPr>
        <w:pStyle w:val="Heading1"/>
      </w:pPr>
      <w:r>
        <w:t>1. Zuschlag und Verfahrensstand</w:t>
      </w:r>
    </w:p>
    <w:p>
      <w:r>
        <w:t>Die Antragsgegnerin bestätigt bis 21.08.2026, 16:00 Uhr, dass der Zuschlag noch nicht erteilt wurde. Ab Zugang der Information über den Nachprüfungsantrag ist das Zuschlagsverbot des § 169 Abs. 1 GWB in der nach § 187 Abs. 2 GWB maßgeblichen Fassung zu beachten.</w:t>
      </w:r>
    </w:p>
    <w:p>
      <w:pPr>
        <w:pStyle w:val="Heading1"/>
      </w:pPr>
      <w:r>
        <w:t>2. Aktenvorlage</w:t>
      </w:r>
    </w:p>
    <w:p>
      <w:pPr>
        <w:keepNext/>
        <w:keepLines/>
      </w:pPr>
      <w:r>
        <w:t>Die vollständige Vergabeakte ist bis 24.08.2026, 12:00 Uhr, in elektronischer, durchsuchbarer Form vorzulegen. Die Vorlage muss insbesondere enthalten:</w:t>
      </w:r>
    </w:p>
    <w:tbl>
      <w:tblPr>
        <w:tblStyle w:val="TableGrid"/>
        <w:tblW w:type="dxa" w:w="9071"/>
        <w:jc w:val="left"/>
        <w:tblLayout w:type="fixed"/>
        <w:tblLook w:firstColumn="1" w:firstRow="1" w:lastColumn="0" w:lastRow="0" w:noHBand="0" w:noVBand="1" w:val="04A0"/>
      </w:tblPr>
      <w:tblGrid>
        <w:gridCol w:w="2263"/>
        <w:gridCol w:w="3356"/>
        <w:gridCol w:w="3452"/>
      </w:tblGrid>
      <w:tr>
        <w:trPr>
          <w:tblHeader w:val="true"/>
          <w:cantSplit/>
        </w:trPr>
        <w:tc>
          <w:tcPr>
            <w:tcW w:type="dxa" w:w="2263"/>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Aktenteil</w:t>
            </w:r>
          </w:p>
        </w:tc>
        <w:tc>
          <w:tcPr>
            <w:tcW w:type="dxa" w:w="3356"/>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verlangter Stand</w:t>
            </w:r>
          </w:p>
        </w:tc>
        <w:tc>
          <w:tcPr>
            <w:tcW w:type="dxa" w:w="34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Prüfzweck</w:t>
            </w:r>
          </w:p>
        </w:tc>
      </w:tr>
      <w:tr>
        <w:trPr>
          <w:cantSplit/>
        </w:trPr>
        <w:tc>
          <w:tcPr>
            <w:tcW w:type="dxa" w:w="2263"/>
            <w:vAlign w:val="top"/>
            <w:tcMar>
              <w:top w:w="60" w:type="dxa"/>
              <w:start w:w="90" w:type="dxa"/>
              <w:bottom w:w="60" w:type="dxa"/>
              <w:end w:w="90" w:type="dxa"/>
            </w:tcMar>
          </w:tcPr>
          <w:p>
            <w:pPr>
              <w:keepLines/>
              <w:spacing w:after="0"/>
            </w:pPr>
            <w:r/>
            <w:r>
              <w:rPr>
                <w:rFonts w:ascii="Times New Roman" w:hAnsi="Times New Roman"/>
                <w:sz w:val="17"/>
              </w:rPr>
              <w:t>Bewertungsleitfaden</w:t>
            </w:r>
          </w:p>
        </w:tc>
        <w:tc>
          <w:tcPr>
            <w:tcW w:type="dxa" w:w="3356"/>
            <w:vAlign w:val="top"/>
            <w:tcMar>
              <w:top w:w="60" w:type="dxa"/>
              <w:start w:w="90" w:type="dxa"/>
              <w:bottom w:w="60" w:type="dxa"/>
              <w:end w:w="90" w:type="dxa"/>
            </w:tcMar>
          </w:tcPr>
          <w:p>
            <w:pPr>
              <w:keepLines/>
              <w:spacing w:after="0"/>
            </w:pPr>
            <w:r/>
            <w:r>
              <w:rPr>
                <w:rFonts w:ascii="Times New Roman" w:hAnsi="Times New Roman"/>
                <w:sz w:val="17"/>
              </w:rPr>
              <w:t>Fassung bei Ablauf der Angebotsfrist</w:t>
            </w:r>
          </w:p>
        </w:tc>
        <w:tc>
          <w:tcPr>
            <w:tcW w:type="dxa" w:w="3452"/>
            <w:vAlign w:val="top"/>
            <w:tcMar>
              <w:top w:w="60" w:type="dxa"/>
              <w:start w:w="90" w:type="dxa"/>
              <w:bottom w:w="60" w:type="dxa"/>
              <w:end w:w="90" w:type="dxa"/>
            </w:tcMar>
          </w:tcPr>
          <w:p>
            <w:pPr>
              <w:keepLines/>
              <w:spacing w:after="0"/>
            </w:pPr>
            <w:r/>
            <w:r>
              <w:rPr>
                <w:rFonts w:ascii="Times New Roman" w:hAnsi="Times New Roman"/>
                <w:sz w:val="17"/>
              </w:rPr>
              <w:t>veröffentlichter Bewertungsmaßstab</w:t>
            </w:r>
          </w:p>
        </w:tc>
      </w:tr>
      <w:tr>
        <w:trPr>
          <w:cantSplit/>
        </w:trPr>
        <w:tc>
          <w:tcPr>
            <w:tcW w:type="dxa" w:w="2263"/>
            <w:vAlign w:val="top"/>
            <w:tcMar>
              <w:top w:w="60" w:type="dxa"/>
              <w:start w:w="90" w:type="dxa"/>
              <w:bottom w:w="60" w:type="dxa"/>
              <w:end w:w="90" w:type="dxa"/>
            </w:tcMar>
            <w:shd w:fill="F1F3F3"/>
          </w:tcPr>
          <w:p>
            <w:pPr>
              <w:keepLines/>
              <w:spacing w:after="0"/>
            </w:pPr>
            <w:r/>
            <w:r>
              <w:rPr>
                <w:rFonts w:ascii="Times New Roman" w:hAnsi="Times New Roman"/>
                <w:sz w:val="17"/>
              </w:rPr>
              <w:t>Einzelwertungsbögen</w:t>
            </w:r>
          </w:p>
        </w:tc>
        <w:tc>
          <w:tcPr>
            <w:tcW w:type="dxa" w:w="3356"/>
            <w:vAlign w:val="top"/>
            <w:tcMar>
              <w:top w:w="60" w:type="dxa"/>
              <w:start w:w="90" w:type="dxa"/>
              <w:bottom w:w="60" w:type="dxa"/>
              <w:end w:w="90" w:type="dxa"/>
            </w:tcMar>
            <w:shd w:fill="F1F3F3"/>
          </w:tcPr>
          <w:p>
            <w:pPr>
              <w:keepLines/>
              <w:spacing w:after="0"/>
            </w:pPr>
            <w:r/>
            <w:r>
              <w:rPr>
                <w:rFonts w:ascii="Times New Roman" w:hAnsi="Times New Roman"/>
                <w:sz w:val="17"/>
              </w:rPr>
              <w:t>Erstfassung und freigegebene Endfassung</w:t>
            </w:r>
          </w:p>
        </w:tc>
        <w:tc>
          <w:tcPr>
            <w:tcW w:type="dxa" w:w="3452"/>
            <w:vAlign w:val="top"/>
            <w:tcMar>
              <w:top w:w="60" w:type="dxa"/>
              <w:start w:w="90" w:type="dxa"/>
              <w:bottom w:w="60" w:type="dxa"/>
              <w:end w:w="90" w:type="dxa"/>
            </w:tcMar>
            <w:shd w:fill="F1F3F3"/>
          </w:tcPr>
          <w:p>
            <w:pPr>
              <w:keepLines/>
              <w:spacing w:after="0"/>
            </w:pPr>
            <w:r/>
            <w:r>
              <w:rPr>
                <w:rFonts w:ascii="Times New Roman" w:hAnsi="Times New Roman"/>
                <w:sz w:val="17"/>
              </w:rPr>
              <w:t>zeitnahe Wertungsbegründung</w:t>
            </w:r>
          </w:p>
        </w:tc>
      </w:tr>
      <w:tr>
        <w:trPr>
          <w:cantSplit/>
        </w:trPr>
        <w:tc>
          <w:tcPr>
            <w:tcW w:type="dxa" w:w="2263"/>
            <w:vAlign w:val="top"/>
            <w:tcMar>
              <w:top w:w="60" w:type="dxa"/>
              <w:start w:w="90" w:type="dxa"/>
              <w:bottom w:w="60" w:type="dxa"/>
              <w:end w:w="90" w:type="dxa"/>
            </w:tcMar>
          </w:tcPr>
          <w:p>
            <w:pPr>
              <w:keepLines/>
              <w:spacing w:after="0"/>
            </w:pPr>
            <w:r/>
            <w:r>
              <w:rPr>
                <w:rFonts w:ascii="Times New Roman" w:hAnsi="Times New Roman"/>
                <w:sz w:val="17"/>
              </w:rPr>
              <w:t>Wertungsvermerk</w:t>
            </w:r>
          </w:p>
        </w:tc>
        <w:tc>
          <w:tcPr>
            <w:tcW w:type="dxa" w:w="3356"/>
            <w:vAlign w:val="top"/>
            <w:tcMar>
              <w:top w:w="60" w:type="dxa"/>
              <w:start w:w="90" w:type="dxa"/>
              <w:bottom w:w="60" w:type="dxa"/>
              <w:end w:w="90" w:type="dxa"/>
            </w:tcMar>
          </w:tcPr>
          <w:p>
            <w:pPr>
              <w:keepLines/>
              <w:spacing w:after="0"/>
            </w:pPr>
            <w:r/>
            <w:r>
              <w:rPr>
                <w:rFonts w:ascii="Times New Roman" w:hAnsi="Times New Roman"/>
                <w:sz w:val="17"/>
              </w:rPr>
              <w:t>einschließlich Versions- und Freigabedaten</w:t>
            </w:r>
          </w:p>
        </w:tc>
        <w:tc>
          <w:tcPr>
            <w:tcW w:type="dxa" w:w="3452"/>
            <w:vAlign w:val="top"/>
            <w:tcMar>
              <w:top w:w="60" w:type="dxa"/>
              <w:start w:w="90" w:type="dxa"/>
              <w:bottom w:w="60" w:type="dxa"/>
              <w:end w:w="90" w:type="dxa"/>
            </w:tcMar>
          </w:tcPr>
          <w:p>
            <w:pPr>
              <w:keepLines/>
              <w:spacing w:after="0"/>
            </w:pPr>
            <w:r/>
            <w:r>
              <w:rPr>
                <w:rFonts w:ascii="Times New Roman" w:hAnsi="Times New Roman"/>
                <w:sz w:val="17"/>
              </w:rPr>
              <w:t>Abgrenzung ursprüngliche Dokumentation und spätere Erläuterung</w:t>
            </w:r>
          </w:p>
        </w:tc>
      </w:tr>
      <w:tr>
        <w:trPr>
          <w:cantSplit/>
        </w:trPr>
        <w:tc>
          <w:tcPr>
            <w:tcW w:type="dxa" w:w="2263"/>
            <w:vAlign w:val="top"/>
            <w:tcMar>
              <w:top w:w="60" w:type="dxa"/>
              <w:start w:w="90" w:type="dxa"/>
              <w:bottom w:w="60" w:type="dxa"/>
              <w:end w:w="90" w:type="dxa"/>
            </w:tcMar>
            <w:shd w:fill="F1F3F3"/>
          </w:tcPr>
          <w:p>
            <w:pPr>
              <w:keepLines/>
              <w:spacing w:after="0"/>
            </w:pPr>
            <w:r/>
            <w:r>
              <w:rPr>
                <w:rFonts w:ascii="Times New Roman" w:hAnsi="Times New Roman"/>
                <w:sz w:val="17"/>
              </w:rPr>
              <w:t>Angebotsauszüge</w:t>
            </w:r>
          </w:p>
        </w:tc>
        <w:tc>
          <w:tcPr>
            <w:tcW w:type="dxa" w:w="3356"/>
            <w:vAlign w:val="top"/>
            <w:tcMar>
              <w:top w:w="60" w:type="dxa"/>
              <w:start w:w="90" w:type="dxa"/>
              <w:bottom w:w="60" w:type="dxa"/>
              <w:end w:w="90" w:type="dxa"/>
            </w:tcMar>
            <w:shd w:fill="F1F3F3"/>
          </w:tcPr>
          <w:p>
            <w:pPr>
              <w:keepLines/>
              <w:spacing w:after="0"/>
            </w:pPr>
            <w:r/>
            <w:r>
              <w:rPr>
                <w:rFonts w:ascii="Times New Roman" w:hAnsi="Times New Roman"/>
                <w:sz w:val="17"/>
              </w:rPr>
              <w:t>nur zu Vertretungsorganisation und Kontrollkonzept</w:t>
            </w:r>
          </w:p>
        </w:tc>
        <w:tc>
          <w:tcPr>
            <w:tcW w:type="dxa" w:w="3452"/>
            <w:vAlign w:val="top"/>
            <w:tcMar>
              <w:top w:w="60" w:type="dxa"/>
              <w:start w:w="90" w:type="dxa"/>
              <w:bottom w:w="60" w:type="dxa"/>
              <w:end w:w="90" w:type="dxa"/>
            </w:tcMar>
            <w:shd w:fill="F1F3F3"/>
          </w:tcPr>
          <w:p>
            <w:pPr>
              <w:keepLines/>
              <w:spacing w:after="0"/>
            </w:pPr>
            <w:r/>
            <w:r>
              <w:rPr>
                <w:rFonts w:ascii="Times New Roman" w:hAnsi="Times New Roman"/>
                <w:sz w:val="17"/>
              </w:rPr>
              <w:t>Gleichbehandlung der Belegmaßstäbe</w:t>
            </w:r>
          </w:p>
        </w:tc>
      </w:tr>
      <w:tr>
        <w:trPr>
          <w:cantSplit/>
        </w:trPr>
        <w:tc>
          <w:tcPr>
            <w:tcW w:type="dxa" w:w="2263"/>
            <w:vAlign w:val="top"/>
            <w:tcMar>
              <w:top w:w="60" w:type="dxa"/>
              <w:start w:w="90" w:type="dxa"/>
              <w:bottom w:w="60" w:type="dxa"/>
              <w:end w:w="90" w:type="dxa"/>
            </w:tcMar>
          </w:tcPr>
          <w:p>
            <w:pPr>
              <w:keepLines/>
              <w:spacing w:after="0"/>
            </w:pPr>
            <w:r/>
            <w:r>
              <w:rPr>
                <w:rFonts w:ascii="Times New Roman" w:hAnsi="Times New Roman"/>
                <w:sz w:val="17"/>
              </w:rPr>
              <w:t>Portalprotokolle</w:t>
            </w:r>
          </w:p>
        </w:tc>
        <w:tc>
          <w:tcPr>
            <w:tcW w:type="dxa" w:w="3356"/>
            <w:vAlign w:val="top"/>
            <w:tcMar>
              <w:top w:w="60" w:type="dxa"/>
              <w:start w:w="90" w:type="dxa"/>
              <w:bottom w:w="60" w:type="dxa"/>
              <w:end w:w="90" w:type="dxa"/>
            </w:tcMar>
          </w:tcPr>
          <w:p>
            <w:pPr>
              <w:keepLines/>
              <w:spacing w:after="0"/>
            </w:pPr>
            <w:r/>
            <w:r>
              <w:rPr>
                <w:rFonts w:ascii="Times New Roman" w:hAnsi="Times New Roman"/>
                <w:sz w:val="17"/>
              </w:rPr>
              <w:t>Versand §-134-Schreiben, Rüge und Nichtabhilfe</w:t>
            </w:r>
          </w:p>
        </w:tc>
        <w:tc>
          <w:tcPr>
            <w:tcW w:type="dxa" w:w="3452"/>
            <w:vAlign w:val="top"/>
            <w:tcMar>
              <w:top w:w="60" w:type="dxa"/>
              <w:start w:w="90" w:type="dxa"/>
              <w:bottom w:w="60" w:type="dxa"/>
              <w:end w:w="90" w:type="dxa"/>
            </w:tcMar>
          </w:tcPr>
          <w:p>
            <w:pPr>
              <w:keepLines/>
              <w:spacing w:after="0"/>
            </w:pPr>
            <w:r/>
            <w:r>
              <w:rPr>
                <w:rFonts w:ascii="Times New Roman" w:hAnsi="Times New Roman"/>
                <w:sz w:val="17"/>
              </w:rPr>
              <w:t>Fristen und Zugang</w:t>
            </w:r>
          </w:p>
        </w:tc>
      </w:tr>
    </w:tbl>
    <w:p>
      <w:pPr>
        <w:spacing w:after="0" w:before="40"/>
      </w:pPr>
    </w:p>
    <w:p>
      <w:pPr>
        <w:keepNext/>
        <w:keepLines/>
      </w:pPr>
      <w:r>
        <w:t>Die Antragsgegnerin reicht zusätzlich ein ungeschwärztes Exemplar für die Kammer und einen begründeten Schwärzungsvorschlag für die Beteiligten ein. Pauschale Geheimhaltungskennzeichnungen genügen nicht.</w:t>
      </w:r>
    </w:p>
    <w:p>
      <w:pPr>
        <w:pStyle w:val="Heading1"/>
        <w:keepNext/>
        <w:keepLines/>
      </w:pPr>
      <w:r>
        <w:t>3. Stellungnahmen und Beiladung</w:t>
      </w:r>
    </w:p>
    <w:p>
      <w:pPr>
        <w:keepNext/>
        <w:keepLines/>
      </w:pPr>
      <w:r>
        <w:t>Die Antragsgegnerin nimmt bis 28.08.2026 Stellung. Sie trennt dabei zwischen dem bei Wertungsabschluss dokumentierten Tatsachenkern und nachträglichen Erläuterungen. Die CleanCampus GmbH wird beigeladen und kann bis 31.08.2026 zur Schutzbedürftigkeit der betroffenen Angebotsauszüge Stellung nehmen.</w:t>
      </w:r>
    </w:p>
    <w:p>
      <w:pPr>
        <w:keepNext/>
        <w:keepLines/>
      </w:pPr>
      <w:r>
        <w:t>Die Antragstellerin erhält nach Entscheidung über die Akteneinsicht Gelegenheit zur abschließenden Erwiderung.</w:t>
      </w:r>
    </w:p>
    <w:p>
      <w:pPr>
        <w:keepLines/>
      </w:pPr>
      <w:r>
        <w:t>Vergabekammer des Landes Musterland</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9-27/26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9-27/26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Nachprüfungsverfahren Unterhalts- und Glasreinigung</dc:title>
  <dc:subject>Verfahrensleitende Verfügung | Az. VK ML 9-27/26</dc:subject>
  <dc:creator>Vergabekammer des Landes Musterland</dc:creator>
  <cp:keywords>Vergaberecht, VK ML 9-27/26, Verfahrensleitende Verfügung</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