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dxa" w:w="9071"/>
        <w:jc w:val="left"/>
        <w:tblLayout w:type="fixed"/>
        <w:tblLook w:firstColumn="1" w:firstRow="1" w:lastColumn="0" w:lastRow="0" w:noHBand="0" w:noVBand="1" w:val="04A0"/>
      </w:tblPr>
      <w:tblGrid>
        <w:gridCol w:w="5499"/>
        <w:gridCol w:w="3572"/>
      </w:tblGrid>
      <w:tr>
        <w:tc>
          <w:tcPr>
            <w:tcW w:type="dxa" w:w="5499"/>
            <w:vAlign w:val="top"/>
            <w:tcMar>
              <w:top w:w="0" w:type="dxa"/>
              <w:start w:w="0" w:type="dxa"/>
              <w:bottom w:w="100" w:type="dxa"/>
              <w:end w:w="0" w:type="dxa"/>
            </w:tcMar>
          </w:tcPr>
          <w:p>
            <w:pPr>
              <w:spacing w:after="20"/>
              <w:pBdr>
                <w:bottom w:val="single" w:sz="6" w:space="5" w:color="01696F"/>
              </w:pBdr>
            </w:pPr>
            <w:r>
              <w:rPr>
                <w:rFonts w:ascii="Times New Roman" w:hAnsi="Times New Roman"/>
                <w:b/>
                <w:color w:val="01696F"/>
                <w:sz w:val="24"/>
              </w:rPr>
              <w:t>Stadt Musterstadt - Zentrale Vergabestelle</w:t>
            </w:r>
          </w:p>
          <w:p>
            <w:pPr>
              <w:spacing w:after="0"/>
            </w:pPr>
            <w:r>
              <w:rPr>
                <w:color w:val="646464"/>
                <w:sz w:val="18"/>
              </w:rPr>
              <w:t>Rathausplatz 1, 99999 Musterstadt</w:t>
            </w:r>
          </w:p>
        </w:tc>
        <w:tc>
          <w:tcPr>
            <w:tcW w:type="dxa" w:w="3572"/>
            <w:vAlign w:val="top"/>
            <w:tcMar>
              <w:top w:w="0" w:type="dxa"/>
              <w:start w:w="0" w:type="dxa"/>
              <w:bottom w:w="100" w:type="dxa"/>
              <w:end w:w="0" w:type="dxa"/>
            </w:tcMar>
          </w:tcPr>
          <w:p>
            <w:pPr>
              <w:spacing w:after="0"/>
              <w:jc w:val="right"/>
              <w:pBdr>
                <w:bottom w:val="single" w:sz="6" w:space="5" w:color="01696F"/>
              </w:pBdr>
            </w:pPr>
            <w:r>
              <w:rPr>
                <w:rFonts w:ascii="Times New Roman" w:hAnsi="Times New Roman"/>
                <w:color w:val="646464"/>
                <w:sz w:val="18"/>
              </w:rPr>
              <w:t>Datum: 28.08.2026</w:t>
              <w:br/>
            </w:r>
            <w:r>
              <w:rPr>
                <w:rFonts w:ascii="Times New Roman" w:hAnsi="Times New Roman"/>
                <w:color w:val="646464"/>
                <w:sz w:val="18"/>
              </w:rPr>
              <w:t>Aktenzeichen: VK ML 9-27/26 / VS-2026-RE-014</w:t>
              <w:br/>
            </w:r>
            <w:r>
              <w:rPr>
                <w:rFonts w:ascii="Times New Roman" w:hAnsi="Times New Roman"/>
                <w:color w:val="646464"/>
                <w:sz w:val="18"/>
              </w:rPr>
              <w:t>Stellungnahme im Nachprüfungsverfahren</w:t>
            </w:r>
          </w:p>
        </w:tc>
      </w:tr>
    </w:tbl>
    <w:p>
      <w:pPr>
        <w:spacing w:before="200" w:after="40"/>
      </w:pPr>
      <w:r>
        <w:rPr>
          <w:rFonts w:ascii="Times New Roman" w:hAnsi="Times New Roman"/>
          <w:color w:val="646464"/>
          <w:sz w:val="15"/>
        </w:rPr>
        <w:t>Stadt Musterstadt - Zentrale Vergabestelle · Rathausplatz 1, 99999 Musterstadt</w:t>
      </w:r>
    </w:p>
    <w:p>
      <w:pPr>
        <w:spacing w:after="240"/>
      </w:pPr>
      <w:r>
        <w:t>Vergabekammer des Landes Musterland</w:t>
      </w:r>
    </w:p>
    <w:p>
      <w:pPr>
        <w:pStyle w:val="Title"/>
      </w:pPr>
      <w:r>
        <w:t>Stellungnahme zur Wertung der Reinigungskonzepte</w:t>
      </w:r>
    </w:p>
    <w:p>
      <w:r>
        <w:t>Die Stadt beantragt, den Nachprüfungsantrag zurückzuweisen, hilfsweise die Vergabestelle lediglich zu einer erneuten dokumentierten Wertung der beiden bestplatzierten Angebote zu verpflichten.</w:t>
      </w:r>
    </w:p>
    <w:p>
      <w:pPr>
        <w:pStyle w:val="Heading1"/>
      </w:pPr>
      <w:r>
        <w:t>1. Verfahrensstand</w:t>
      </w:r>
    </w:p>
    <w:p>
      <w:r>
        <w:t>Der Zuschlag wurde nicht erteilt. Nach Eingang der Verfügung vom 21.08.2026 wurde die elektronische Zuschlagsfreigabe im Vergabemanagementsystem gesperrt. Die Vergabeakte wird mit getrenntem ungeschwärztem Kammerexemplar und Beteiligtenfassung vorgelegt.</w:t>
      </w:r>
    </w:p>
    <w:p>
      <w:pPr>
        <w:pStyle w:val="Heading1"/>
      </w:pPr>
      <w:r>
        <w:t>2. Bewertungsmaßstab</w:t>
      </w:r>
    </w:p>
    <w:p>
      <w:r>
        <w:t>Der veröffentlichte Leitfaden bewertete im Kriterium Vertretungsorganisation die personelle Reserve, die Erreichbarkeit, die Reaktionsfähigkeit und die organisatorische Nachvollziehbarkeit. Eine feste Reserve je Schule oder eine Reaktionszeit von exakt 90 Minuten war keine Mindestanforderung.</w:t>
      </w:r>
    </w:p>
    <w:p>
      <w:r>
        <w:t>Die Einzelwertung hat die konkreten Zusagen wie folgt herangezogen:</w:t>
      </w:r>
    </w:p>
    <w:tbl>
      <w:tblPr>
        <w:tblStyle w:val="TableGrid"/>
        <w:tblW w:type="dxa" w:w="9071"/>
        <w:jc w:val="left"/>
        <w:tblLayout w:type="fixed"/>
        <w:tblLook w:firstColumn="1" w:firstRow="1" w:lastColumn="0" w:lastRow="0" w:noHBand="0" w:noVBand="1" w:val="04A0"/>
      </w:tblPr>
      <w:tblGrid>
        <w:gridCol w:w="1938"/>
        <w:gridCol w:w="2573"/>
        <w:gridCol w:w="2222"/>
        <w:gridCol w:w="2338"/>
      </w:tblGrid>
      <w:tr>
        <w:trPr>
          <w:tblHeader w:val="true"/>
          <w:cantSplit/>
        </w:trPr>
        <w:tc>
          <w:tcPr>
            <w:tcW w:type="dxa" w:w="1938"/>
            <w:vAlign w:val="top"/>
            <w:tcMar>
              <w:top w:w="60" w:type="dxa"/>
              <w:start w:w="90" w:type="dxa"/>
              <w:bottom w:w="60" w:type="dxa"/>
              <w:end w:w="90" w:type="dxa"/>
            </w:tcMar>
            <w:shd w:fill="01696F"/>
          </w:tcPr>
          <w:p>
            <w:pPr>
              <w:keepLines/>
              <w:spacing w:after="0"/>
            </w:pPr>
            <w:r/>
            <w:r>
              <w:rPr>
                <w:rFonts w:ascii="Times New Roman" w:hAnsi="Times New Roman"/>
                <w:b/>
                <w:color w:val="FFFFFF"/>
                <w:sz w:val="17"/>
              </w:rPr>
              <w:t>Prüfaspekt</w:t>
            </w:r>
          </w:p>
        </w:tc>
        <w:tc>
          <w:tcPr>
            <w:tcW w:type="dxa" w:w="2573"/>
            <w:vAlign w:val="top"/>
            <w:tcMar>
              <w:top w:w="60" w:type="dxa"/>
              <w:start w:w="90" w:type="dxa"/>
              <w:bottom w:w="60" w:type="dxa"/>
              <w:end w:w="90" w:type="dxa"/>
            </w:tcMar>
            <w:shd w:fill="01696F"/>
          </w:tcPr>
          <w:p>
            <w:pPr>
              <w:keepLines/>
              <w:spacing w:after="0"/>
            </w:pPr>
            <w:r/>
            <w:r>
              <w:rPr>
                <w:rFonts w:ascii="Times New Roman" w:hAnsi="Times New Roman"/>
                <w:b/>
                <w:color w:val="FFFFFF"/>
                <w:sz w:val="17"/>
              </w:rPr>
              <w:t>StadtGlanz</w:t>
            </w:r>
          </w:p>
        </w:tc>
        <w:tc>
          <w:tcPr>
            <w:tcW w:type="dxa" w:w="2222"/>
            <w:vAlign w:val="top"/>
            <w:tcMar>
              <w:top w:w="60" w:type="dxa"/>
              <w:start w:w="90" w:type="dxa"/>
              <w:bottom w:w="60" w:type="dxa"/>
              <w:end w:w="90" w:type="dxa"/>
            </w:tcMar>
            <w:shd w:fill="01696F"/>
          </w:tcPr>
          <w:p>
            <w:pPr>
              <w:keepLines/>
              <w:spacing w:after="0"/>
            </w:pPr>
            <w:r/>
            <w:r>
              <w:rPr>
                <w:rFonts w:ascii="Times New Roman" w:hAnsi="Times New Roman"/>
                <w:b/>
                <w:color w:val="FFFFFF"/>
                <w:sz w:val="17"/>
              </w:rPr>
              <w:t>CleanCampus</w:t>
            </w:r>
          </w:p>
        </w:tc>
        <w:tc>
          <w:tcPr>
            <w:tcW w:type="dxa" w:w="2338"/>
            <w:vAlign w:val="top"/>
            <w:tcMar>
              <w:top w:w="60" w:type="dxa"/>
              <w:start w:w="90" w:type="dxa"/>
              <w:bottom w:w="60" w:type="dxa"/>
              <w:end w:w="90" w:type="dxa"/>
            </w:tcMar>
            <w:shd w:fill="01696F"/>
          </w:tcPr>
          <w:p>
            <w:pPr>
              <w:keepLines/>
              <w:spacing w:after="0"/>
            </w:pPr>
            <w:r/>
            <w:r>
              <w:rPr>
                <w:rFonts w:ascii="Times New Roman" w:hAnsi="Times New Roman"/>
                <w:b/>
                <w:color w:val="FFFFFF"/>
                <w:sz w:val="17"/>
              </w:rPr>
              <w:t>ursprüngliche Aktenfundstelle</w:t>
            </w:r>
          </w:p>
        </w:tc>
      </w:tr>
      <w:tr>
        <w:trPr>
          <w:cantSplit/>
        </w:trPr>
        <w:tc>
          <w:tcPr>
            <w:tcW w:type="dxa" w:w="1938"/>
            <w:vAlign w:val="top"/>
            <w:tcMar>
              <w:top w:w="60" w:type="dxa"/>
              <w:start w:w="90" w:type="dxa"/>
              <w:bottom w:w="60" w:type="dxa"/>
              <w:end w:w="90" w:type="dxa"/>
            </w:tcMar>
          </w:tcPr>
          <w:p>
            <w:pPr>
              <w:keepLines/>
              <w:spacing w:after="0"/>
            </w:pPr>
            <w:r/>
            <w:r>
              <w:rPr>
                <w:rFonts w:ascii="Times New Roman" w:hAnsi="Times New Roman"/>
                <w:sz w:val="17"/>
              </w:rPr>
              <w:t>Personalreserve</w:t>
            </w:r>
          </w:p>
        </w:tc>
        <w:tc>
          <w:tcPr>
            <w:tcW w:type="dxa" w:w="2573"/>
            <w:vAlign w:val="top"/>
            <w:tcMar>
              <w:top w:w="60" w:type="dxa"/>
              <w:start w:w="90" w:type="dxa"/>
              <w:bottom w:w="60" w:type="dxa"/>
              <w:end w:w="90" w:type="dxa"/>
            </w:tcMar>
          </w:tcPr>
          <w:p>
            <w:pPr>
              <w:keepLines/>
              <w:spacing w:after="0"/>
            </w:pPr>
            <w:r/>
            <w:r>
              <w:rPr>
                <w:rFonts w:ascii="Times New Roman" w:hAnsi="Times New Roman"/>
                <w:sz w:val="17"/>
              </w:rPr>
              <w:t>zentraler Pool mit zwölf Kräften</w:t>
            </w:r>
          </w:p>
        </w:tc>
        <w:tc>
          <w:tcPr>
            <w:tcW w:type="dxa" w:w="2222"/>
            <w:vAlign w:val="top"/>
            <w:tcMar>
              <w:top w:w="60" w:type="dxa"/>
              <w:start w:w="90" w:type="dxa"/>
              <w:bottom w:w="60" w:type="dxa"/>
              <w:end w:w="90" w:type="dxa"/>
            </w:tcMar>
          </w:tcPr>
          <w:p>
            <w:pPr>
              <w:keepLines/>
              <w:spacing w:after="0"/>
            </w:pPr>
            <w:r/>
            <w:r>
              <w:rPr>
                <w:rFonts w:ascii="Times New Roman" w:hAnsi="Times New Roman"/>
                <w:sz w:val="17"/>
              </w:rPr>
              <w:t>Pool mit acht benannten Kräften</w:t>
            </w:r>
          </w:p>
        </w:tc>
        <w:tc>
          <w:tcPr>
            <w:tcW w:type="dxa" w:w="2338"/>
            <w:vAlign w:val="top"/>
            <w:tcMar>
              <w:top w:w="60" w:type="dxa"/>
              <w:start w:w="90" w:type="dxa"/>
              <w:bottom w:w="60" w:type="dxa"/>
              <w:end w:w="90" w:type="dxa"/>
            </w:tcMar>
          </w:tcPr>
          <w:p>
            <w:pPr>
              <w:keepLines/>
              <w:spacing w:after="0"/>
            </w:pPr>
            <w:r/>
            <w:r>
              <w:rPr>
                <w:rFonts w:ascii="Times New Roman" w:hAnsi="Times New Roman"/>
                <w:sz w:val="17"/>
              </w:rPr>
              <w:t>Wertungsbogen ZK 2.2, Zeilen 14 bis 18</w:t>
            </w:r>
          </w:p>
        </w:tc>
      </w:tr>
      <w:tr>
        <w:trPr>
          <w:cantSplit/>
        </w:trPr>
        <w:tc>
          <w:tcPr>
            <w:tcW w:type="dxa" w:w="1938"/>
            <w:vAlign w:val="top"/>
            <w:tcMar>
              <w:top w:w="60" w:type="dxa"/>
              <w:start w:w="90" w:type="dxa"/>
              <w:bottom w:w="60" w:type="dxa"/>
              <w:end w:w="90" w:type="dxa"/>
            </w:tcMar>
            <w:shd w:fill="F1F3F3"/>
          </w:tcPr>
          <w:p>
            <w:pPr>
              <w:keepLines/>
              <w:spacing w:after="0"/>
            </w:pPr>
            <w:r/>
            <w:r>
              <w:rPr>
                <w:rFonts w:ascii="Times New Roman" w:hAnsi="Times New Roman"/>
                <w:sz w:val="17"/>
              </w:rPr>
              <w:t>Einsatzsteuerung</w:t>
            </w:r>
          </w:p>
        </w:tc>
        <w:tc>
          <w:tcPr>
            <w:tcW w:type="dxa" w:w="2573"/>
            <w:vAlign w:val="top"/>
            <w:tcMar>
              <w:top w:w="60" w:type="dxa"/>
              <w:start w:w="90" w:type="dxa"/>
              <w:bottom w:w="60" w:type="dxa"/>
              <w:end w:w="90" w:type="dxa"/>
            </w:tcMar>
            <w:shd w:fill="F1F3F3"/>
          </w:tcPr>
          <w:p>
            <w:pPr>
              <w:keepLines/>
              <w:spacing w:after="0"/>
            </w:pPr>
            <w:r/>
            <w:r>
              <w:rPr>
                <w:rFonts w:ascii="Times New Roman" w:hAnsi="Times New Roman"/>
                <w:sz w:val="17"/>
              </w:rPr>
              <w:t>telefonische Disposition, keine Standortfolge</w:t>
            </w:r>
          </w:p>
        </w:tc>
        <w:tc>
          <w:tcPr>
            <w:tcW w:type="dxa" w:w="2222"/>
            <w:vAlign w:val="top"/>
            <w:tcMar>
              <w:top w:w="60" w:type="dxa"/>
              <w:start w:w="90" w:type="dxa"/>
              <w:bottom w:w="60" w:type="dxa"/>
              <w:end w:w="90" w:type="dxa"/>
            </w:tcMar>
            <w:shd w:fill="F1F3F3"/>
          </w:tcPr>
          <w:p>
            <w:pPr>
              <w:keepLines/>
              <w:spacing w:after="0"/>
            </w:pPr>
            <w:r/>
            <w:r>
              <w:rPr>
                <w:rFonts w:ascii="Times New Roman" w:hAnsi="Times New Roman"/>
                <w:sz w:val="17"/>
              </w:rPr>
              <w:t>Eskalationskette je Schule</w:t>
            </w:r>
          </w:p>
        </w:tc>
        <w:tc>
          <w:tcPr>
            <w:tcW w:type="dxa" w:w="2338"/>
            <w:vAlign w:val="top"/>
            <w:tcMar>
              <w:top w:w="60" w:type="dxa"/>
              <w:start w:w="90" w:type="dxa"/>
              <w:bottom w:w="60" w:type="dxa"/>
              <w:end w:w="90" w:type="dxa"/>
            </w:tcMar>
            <w:shd w:fill="F1F3F3"/>
          </w:tcPr>
          <w:p>
            <w:pPr>
              <w:keepLines/>
              <w:spacing w:after="0"/>
            </w:pPr>
            <w:r/>
            <w:r>
              <w:rPr>
                <w:rFonts w:ascii="Times New Roman" w:hAnsi="Times New Roman"/>
                <w:sz w:val="17"/>
              </w:rPr>
              <w:t>Wertungsbogen ZK 2.2, Zeilen 19 bis 23</w:t>
            </w:r>
          </w:p>
        </w:tc>
      </w:tr>
      <w:tr>
        <w:trPr>
          <w:cantSplit/>
        </w:trPr>
        <w:tc>
          <w:tcPr>
            <w:tcW w:type="dxa" w:w="1938"/>
            <w:vAlign w:val="top"/>
            <w:tcMar>
              <w:top w:w="60" w:type="dxa"/>
              <w:start w:w="90" w:type="dxa"/>
              <w:bottom w:w="60" w:type="dxa"/>
              <w:end w:w="90" w:type="dxa"/>
            </w:tcMar>
          </w:tcPr>
          <w:p>
            <w:pPr>
              <w:keepLines/>
              <w:spacing w:after="0"/>
            </w:pPr>
            <w:r/>
            <w:r>
              <w:rPr>
                <w:rFonts w:ascii="Times New Roman" w:hAnsi="Times New Roman"/>
                <w:sz w:val="17"/>
              </w:rPr>
              <w:t>Reaktionszeit</w:t>
            </w:r>
          </w:p>
        </w:tc>
        <w:tc>
          <w:tcPr>
            <w:tcW w:type="dxa" w:w="2573"/>
            <w:vAlign w:val="top"/>
            <w:tcMar>
              <w:top w:w="60" w:type="dxa"/>
              <w:start w:w="90" w:type="dxa"/>
              <w:bottom w:w="60" w:type="dxa"/>
              <w:end w:w="90" w:type="dxa"/>
            </w:tcMar>
          </w:tcPr>
          <w:p>
            <w:pPr>
              <w:keepLines/>
              <w:spacing w:after="0"/>
            </w:pPr>
            <w:r/>
            <w:r>
              <w:rPr>
                <w:rFonts w:ascii="Times New Roman" w:hAnsi="Times New Roman"/>
                <w:sz w:val="17"/>
              </w:rPr>
              <w:t>schnellstmöglich, im Ablaufbild zwei Stunden</w:t>
            </w:r>
          </w:p>
        </w:tc>
        <w:tc>
          <w:tcPr>
            <w:tcW w:type="dxa" w:w="2222"/>
            <w:vAlign w:val="top"/>
            <w:tcMar>
              <w:top w:w="60" w:type="dxa"/>
              <w:start w:w="90" w:type="dxa"/>
              <w:bottom w:w="60" w:type="dxa"/>
              <w:end w:w="90" w:type="dxa"/>
            </w:tcMar>
          </w:tcPr>
          <w:p>
            <w:pPr>
              <w:keepLines/>
              <w:spacing w:after="0"/>
            </w:pPr>
            <w:r/>
            <w:r>
              <w:rPr>
                <w:rFonts w:ascii="Times New Roman" w:hAnsi="Times New Roman"/>
                <w:sz w:val="17"/>
              </w:rPr>
              <w:t>verbindlich 90 Minuten</w:t>
            </w:r>
          </w:p>
        </w:tc>
        <w:tc>
          <w:tcPr>
            <w:tcW w:type="dxa" w:w="2338"/>
            <w:vAlign w:val="top"/>
            <w:tcMar>
              <w:top w:w="60" w:type="dxa"/>
              <w:start w:w="90" w:type="dxa"/>
              <w:bottom w:w="60" w:type="dxa"/>
              <w:end w:w="90" w:type="dxa"/>
            </w:tcMar>
          </w:tcPr>
          <w:p>
            <w:pPr>
              <w:keepLines/>
              <w:spacing w:after="0"/>
            </w:pPr>
            <w:r/>
            <w:r>
              <w:rPr>
                <w:rFonts w:ascii="Times New Roman" w:hAnsi="Times New Roman"/>
                <w:sz w:val="17"/>
              </w:rPr>
              <w:t>Angebotsauszüge A 12 und B 9</w:t>
            </w:r>
          </w:p>
        </w:tc>
      </w:tr>
      <w:tr>
        <w:trPr>
          <w:cantSplit/>
        </w:trPr>
        <w:tc>
          <w:tcPr>
            <w:tcW w:type="dxa" w:w="1938"/>
            <w:vAlign w:val="top"/>
            <w:tcMar>
              <w:top w:w="60" w:type="dxa"/>
              <w:start w:w="90" w:type="dxa"/>
              <w:bottom w:w="60" w:type="dxa"/>
              <w:end w:w="90" w:type="dxa"/>
            </w:tcMar>
            <w:shd w:fill="F1F3F3"/>
          </w:tcPr>
          <w:p>
            <w:pPr>
              <w:keepLines/>
              <w:spacing w:after="0"/>
            </w:pPr>
            <w:r/>
            <w:r>
              <w:rPr>
                <w:rFonts w:ascii="Times New Roman" w:hAnsi="Times New Roman"/>
                <w:sz w:val="17"/>
              </w:rPr>
              <w:t>Qualitätsbegehung</w:t>
            </w:r>
          </w:p>
        </w:tc>
        <w:tc>
          <w:tcPr>
            <w:tcW w:type="dxa" w:w="2573"/>
            <w:vAlign w:val="top"/>
            <w:tcMar>
              <w:top w:w="60" w:type="dxa"/>
              <w:start w:w="90" w:type="dxa"/>
              <w:bottom w:w="60" w:type="dxa"/>
              <w:end w:w="90" w:type="dxa"/>
            </w:tcMar>
            <w:shd w:fill="F1F3F3"/>
          </w:tcPr>
          <w:p>
            <w:pPr>
              <w:keepLines/>
              <w:spacing w:after="0"/>
            </w:pPr>
            <w:r/>
            <w:r>
              <w:rPr>
                <w:rFonts w:ascii="Times New Roman" w:hAnsi="Times New Roman"/>
                <w:sz w:val="17"/>
              </w:rPr>
              <w:t>quartalsweise mit Objektleitung</w:t>
            </w:r>
          </w:p>
        </w:tc>
        <w:tc>
          <w:tcPr>
            <w:tcW w:type="dxa" w:w="2222"/>
            <w:vAlign w:val="top"/>
            <w:tcMar>
              <w:top w:w="60" w:type="dxa"/>
              <w:start w:w="90" w:type="dxa"/>
              <w:bottom w:w="60" w:type="dxa"/>
              <w:end w:w="90" w:type="dxa"/>
            </w:tcMar>
            <w:shd w:fill="F1F3F3"/>
          </w:tcPr>
          <w:p>
            <w:pPr>
              <w:keepLines/>
              <w:spacing w:after="0"/>
            </w:pPr>
            <w:r/>
            <w:r>
              <w:rPr>
                <w:rFonts w:ascii="Times New Roman" w:hAnsi="Times New Roman"/>
                <w:sz w:val="17"/>
              </w:rPr>
              <w:t>monatlich gemeinsam</w:t>
            </w:r>
          </w:p>
        </w:tc>
        <w:tc>
          <w:tcPr>
            <w:tcW w:type="dxa" w:w="2338"/>
            <w:vAlign w:val="top"/>
            <w:tcMar>
              <w:top w:w="60" w:type="dxa"/>
              <w:start w:w="90" w:type="dxa"/>
              <w:bottom w:w="60" w:type="dxa"/>
              <w:end w:w="90" w:type="dxa"/>
            </w:tcMar>
            <w:shd w:fill="F1F3F3"/>
          </w:tcPr>
          <w:p>
            <w:pPr>
              <w:keepLines/>
              <w:spacing w:after="0"/>
            </w:pPr>
            <w:r/>
            <w:r>
              <w:rPr>
                <w:rFonts w:ascii="Times New Roman" w:hAnsi="Times New Roman"/>
                <w:sz w:val="17"/>
              </w:rPr>
              <w:t>Wertungsbogen ZK 2.3</w:t>
            </w:r>
          </w:p>
        </w:tc>
      </w:tr>
    </w:tbl>
    <w:p>
      <w:pPr>
        <w:spacing w:after="0" w:before="40"/>
      </w:pPr>
    </w:p>
    <w:p>
      <w:pPr>
        <w:pStyle w:val="Heading1"/>
      </w:pPr>
      <w:r>
        <w:t>3. Dokumentationsmangel</w:t>
      </w:r>
    </w:p>
    <w:p>
      <w:r>
        <w:t>Die Stadt hält den fachlichen Punktabstand für vertretbar. Sie räumt jedoch ein, dass der Endvermerk die Unterschiede verkürzt als fehlende standortbezogene Mindestbesetzung und zusätzliche gemeinsame Qualitätsbegehung bezeichnet. Diese Formulierungen erwecken den Eindruck eines nicht veröffentlichten Unterkriteriums. Die ausführlichen Einzelwertungsbögen waren vorhanden, wurden aber im Endvermerk nicht hinreichend zusammengeführt.</w:t>
      </w:r>
    </w:p>
    <w:p>
      <w:pPr>
        <w:pStyle w:val="Heading1"/>
      </w:pPr>
      <w:r>
        <w:t>4. Reparaturpfad</w:t>
      </w:r>
    </w:p>
    <w:p>
      <w:pPr>
        <w:keepNext/>
        <w:keepLines/>
      </w:pPr>
      <w:r>
        <w:t>Falls die Kammer die Dokumentation für nicht tragfähig hält, kann der Fehler ohne Änderung der Angebote behoben werden:</w:t>
      </w:r>
    </w:p>
    <w:p>
      <w:pPr>
        <w:pStyle w:val="ListNumber"/>
        <w:keepNext/>
        <w:keepLines/>
      </w:pPr>
      <w:r>
        <w:t>neue Wertungsgruppe mit mindestens einem bislang nicht beteiligten Mitglied;</w:t>
      </w:r>
    </w:p>
    <w:p>
      <w:pPr>
        <w:pStyle w:val="ListNumber"/>
        <w:keepNext/>
        <w:keepLines/>
      </w:pPr>
      <w:r>
        <w:t>unveränderter veröffentlichter Bewertungsleitfaden;</w:t>
      </w:r>
    </w:p>
    <w:p>
      <w:pPr>
        <w:pStyle w:val="ListNumber"/>
        <w:keepNext/>
        <w:keepLines/>
      </w:pPr>
      <w:r>
        <w:t>ausschließliche Verwendung fristgerecht eingereichter Angebotsinhalte;</w:t>
      </w:r>
    </w:p>
    <w:p>
      <w:pPr>
        <w:pStyle w:val="ListNumber"/>
        <w:keepNext/>
        <w:keepLines/>
      </w:pPr>
      <w:r>
        <w:t>Fundstelle und tragende Erwägung für jeden Punktabzug;</w:t>
      </w:r>
    </w:p>
    <w:p>
      <w:pPr>
        <w:pStyle w:val="ListNumber"/>
        <w:keepNext/>
        <w:keepLines/>
      </w:pPr>
      <w:r>
        <w:t>erneute Vier-Augen-Kontrolle und neues Informationsschreiben nach § 134 GWB.</w:t>
      </w:r>
    </w:p>
    <w:p>
      <w:pPr>
        <w:keepNext/>
        <w:keepLines/>
      </w:pPr>
      <w:r>
        <w:t>Eine bloße nachträgliche Ergänzung des alten Wertungsvermerks wird nicht beantragt.</w:t>
      </w:r>
    </w:p>
    <w:p>
      <w:pPr>
        <w:pStyle w:val="Heading1"/>
        <w:keepNext/>
        <w:keepLines/>
      </w:pPr>
      <w:r>
        <w:t>5. Aktenvorlage und Schwärzung</w:t>
      </w:r>
    </w:p>
    <w:tbl>
      <w:tblPr>
        <w:tblStyle w:val="TableGrid"/>
        <w:tblW w:type="dxa" w:w="9071"/>
        <w:jc w:val="left"/>
        <w:tblLayout w:type="fixed"/>
        <w:tblLook w:firstColumn="1" w:firstRow="1" w:lastColumn="0" w:lastRow="0" w:noHBand="0" w:noVBand="1" w:val="04A0"/>
      </w:tblPr>
      <w:tblGrid>
        <w:gridCol w:w="2278"/>
        <w:gridCol w:w="1768"/>
        <w:gridCol w:w="2283"/>
        <w:gridCol w:w="2742"/>
      </w:tblGrid>
      <w:tr>
        <w:trPr>
          <w:tblHeader w:val="true"/>
          <w:cantSplit/>
        </w:trPr>
        <w:tc>
          <w:tcPr>
            <w:tcW w:type="dxa" w:w="2278"/>
            <w:vAlign w:val="top"/>
            <w:tcMar>
              <w:top w:w="60" w:type="dxa"/>
              <w:start w:w="90" w:type="dxa"/>
              <w:bottom w:w="60" w:type="dxa"/>
              <w:end w:w="90" w:type="dxa"/>
            </w:tcMar>
            <w:shd w:fill="01696F"/>
          </w:tcPr>
          <w:p>
            <w:pPr>
              <w:keepLines/>
              <w:spacing w:after="0"/>
            </w:pPr>
            <w:r/>
            <w:r>
              <w:rPr>
                <w:rFonts w:ascii="Times New Roman" w:hAnsi="Times New Roman"/>
                <w:b/>
                <w:color w:val="FFFFFF"/>
                <w:sz w:val="17"/>
              </w:rPr>
              <w:t>Anlage</w:t>
            </w:r>
          </w:p>
        </w:tc>
        <w:tc>
          <w:tcPr>
            <w:tcW w:type="dxa" w:w="1768"/>
            <w:vAlign w:val="top"/>
            <w:tcMar>
              <w:top w:w="60" w:type="dxa"/>
              <w:start w:w="90" w:type="dxa"/>
              <w:bottom w:w="60" w:type="dxa"/>
              <w:end w:w="90" w:type="dxa"/>
            </w:tcMar>
            <w:shd w:fill="01696F"/>
          </w:tcPr>
          <w:p>
            <w:pPr>
              <w:keepLines/>
              <w:spacing w:after="0"/>
            </w:pPr>
            <w:r/>
            <w:r>
              <w:rPr>
                <w:rFonts w:ascii="Times New Roman" w:hAnsi="Times New Roman"/>
                <w:b/>
                <w:color w:val="FFFFFF"/>
                <w:sz w:val="17"/>
              </w:rPr>
              <w:t>Kammerfassung</w:t>
            </w:r>
          </w:p>
        </w:tc>
        <w:tc>
          <w:tcPr>
            <w:tcW w:type="dxa" w:w="2283"/>
            <w:vAlign w:val="top"/>
            <w:tcMar>
              <w:top w:w="60" w:type="dxa"/>
              <w:start w:w="90" w:type="dxa"/>
              <w:bottom w:w="60" w:type="dxa"/>
              <w:end w:w="90" w:type="dxa"/>
            </w:tcMar>
            <w:shd w:fill="01696F"/>
          </w:tcPr>
          <w:p>
            <w:pPr>
              <w:keepLines/>
              <w:spacing w:after="0"/>
            </w:pPr>
            <w:r/>
            <w:r>
              <w:rPr>
                <w:rFonts w:ascii="Times New Roman" w:hAnsi="Times New Roman"/>
                <w:b/>
                <w:color w:val="FFFFFF"/>
                <w:sz w:val="17"/>
              </w:rPr>
              <w:t>Beteiligtenfassung</w:t>
            </w:r>
          </w:p>
        </w:tc>
        <w:tc>
          <w:tcPr>
            <w:tcW w:type="dxa" w:w="2742"/>
            <w:vAlign w:val="top"/>
            <w:tcMar>
              <w:top w:w="60" w:type="dxa"/>
              <w:start w:w="90" w:type="dxa"/>
              <w:bottom w:w="60" w:type="dxa"/>
              <w:end w:w="90" w:type="dxa"/>
            </w:tcMar>
            <w:shd w:fill="01696F"/>
          </w:tcPr>
          <w:p>
            <w:pPr>
              <w:keepLines/>
              <w:spacing w:after="0"/>
            </w:pPr>
            <w:r/>
            <w:r>
              <w:rPr>
                <w:rFonts w:ascii="Times New Roman" w:hAnsi="Times New Roman"/>
                <w:b/>
                <w:color w:val="FFFFFF"/>
                <w:sz w:val="17"/>
              </w:rPr>
              <w:t>Begründung einer Schwärzung</w:t>
            </w:r>
          </w:p>
        </w:tc>
      </w:tr>
      <w:tr>
        <w:trPr>
          <w:cantSplit/>
        </w:trPr>
        <w:tc>
          <w:tcPr>
            <w:tcW w:type="dxa" w:w="2278"/>
            <w:vAlign w:val="top"/>
            <w:tcMar>
              <w:top w:w="60" w:type="dxa"/>
              <w:start w:w="90" w:type="dxa"/>
              <w:bottom w:w="60" w:type="dxa"/>
              <w:end w:w="90" w:type="dxa"/>
            </w:tcMar>
          </w:tcPr>
          <w:p>
            <w:pPr>
              <w:keepLines/>
              <w:spacing w:after="0"/>
            </w:pPr>
            <w:r/>
            <w:r>
              <w:rPr>
                <w:rFonts w:ascii="Times New Roman" w:hAnsi="Times New Roman"/>
                <w:sz w:val="17"/>
              </w:rPr>
              <w:t>Bewertungsleitfaden</w:t>
            </w:r>
          </w:p>
        </w:tc>
        <w:tc>
          <w:tcPr>
            <w:tcW w:type="dxa" w:w="1768"/>
            <w:vAlign w:val="top"/>
            <w:tcMar>
              <w:top w:w="60" w:type="dxa"/>
              <w:start w:w="90" w:type="dxa"/>
              <w:bottom w:w="60" w:type="dxa"/>
              <w:end w:w="90" w:type="dxa"/>
            </w:tcMar>
          </w:tcPr>
          <w:p>
            <w:pPr>
              <w:keepLines/>
              <w:spacing w:after="0"/>
            </w:pPr>
            <w:r/>
            <w:r>
              <w:rPr>
                <w:rFonts w:ascii="Times New Roman" w:hAnsi="Times New Roman"/>
                <w:sz w:val="17"/>
              </w:rPr>
              <w:t>vollständig</w:t>
            </w:r>
          </w:p>
        </w:tc>
        <w:tc>
          <w:tcPr>
            <w:tcW w:type="dxa" w:w="2283"/>
            <w:vAlign w:val="top"/>
            <w:tcMar>
              <w:top w:w="60" w:type="dxa"/>
              <w:start w:w="90" w:type="dxa"/>
              <w:bottom w:w="60" w:type="dxa"/>
              <w:end w:w="90" w:type="dxa"/>
            </w:tcMar>
          </w:tcPr>
          <w:p>
            <w:pPr>
              <w:keepLines/>
              <w:spacing w:after="0"/>
            </w:pPr>
            <w:r/>
            <w:r>
              <w:rPr>
                <w:rFonts w:ascii="Times New Roman" w:hAnsi="Times New Roman"/>
                <w:sz w:val="17"/>
              </w:rPr>
              <w:t>vollständig</w:t>
            </w:r>
          </w:p>
        </w:tc>
        <w:tc>
          <w:tcPr>
            <w:tcW w:type="dxa" w:w="2742"/>
            <w:vAlign w:val="top"/>
            <w:tcMar>
              <w:top w:w="60" w:type="dxa"/>
              <w:start w:w="90" w:type="dxa"/>
              <w:bottom w:w="60" w:type="dxa"/>
              <w:end w:w="90" w:type="dxa"/>
            </w:tcMar>
          </w:tcPr>
          <w:p>
            <w:pPr>
              <w:keepLines/>
              <w:spacing w:after="0"/>
            </w:pPr>
            <w:r/>
            <w:r>
              <w:rPr>
                <w:rFonts w:ascii="Times New Roman" w:hAnsi="Times New Roman"/>
                <w:sz w:val="17"/>
              </w:rPr>
              <w:t>keine</w:t>
            </w:r>
          </w:p>
        </w:tc>
      </w:tr>
      <w:tr>
        <w:trPr>
          <w:cantSplit/>
        </w:trPr>
        <w:tc>
          <w:tcPr>
            <w:tcW w:type="dxa" w:w="2278"/>
            <w:vAlign w:val="top"/>
            <w:tcMar>
              <w:top w:w="60" w:type="dxa"/>
              <w:start w:w="90" w:type="dxa"/>
              <w:bottom w:w="60" w:type="dxa"/>
              <w:end w:w="90" w:type="dxa"/>
            </w:tcMar>
            <w:shd w:fill="F1F3F3"/>
          </w:tcPr>
          <w:p>
            <w:pPr>
              <w:keepLines/>
              <w:spacing w:after="0"/>
            </w:pPr>
            <w:r/>
            <w:r>
              <w:rPr>
                <w:rFonts w:ascii="Times New Roman" w:hAnsi="Times New Roman"/>
                <w:sz w:val="17"/>
              </w:rPr>
              <w:t>Einzelwertungsbögen</w:t>
            </w:r>
          </w:p>
        </w:tc>
        <w:tc>
          <w:tcPr>
            <w:tcW w:type="dxa" w:w="1768"/>
            <w:vAlign w:val="top"/>
            <w:tcMar>
              <w:top w:w="60" w:type="dxa"/>
              <w:start w:w="90" w:type="dxa"/>
              <w:bottom w:w="60" w:type="dxa"/>
              <w:end w:w="90" w:type="dxa"/>
            </w:tcMar>
            <w:shd w:fill="F1F3F3"/>
          </w:tcPr>
          <w:p>
            <w:pPr>
              <w:keepLines/>
              <w:spacing w:after="0"/>
            </w:pPr>
            <w:r/>
            <w:r>
              <w:rPr>
                <w:rFonts w:ascii="Times New Roman" w:hAnsi="Times New Roman"/>
                <w:sz w:val="17"/>
              </w:rPr>
              <w:t>vollständig</w:t>
            </w:r>
          </w:p>
        </w:tc>
        <w:tc>
          <w:tcPr>
            <w:tcW w:type="dxa" w:w="2283"/>
            <w:vAlign w:val="top"/>
            <w:tcMar>
              <w:top w:w="60" w:type="dxa"/>
              <w:start w:w="90" w:type="dxa"/>
              <w:bottom w:w="60" w:type="dxa"/>
              <w:end w:w="90" w:type="dxa"/>
            </w:tcMar>
            <w:shd w:fill="F1F3F3"/>
          </w:tcPr>
          <w:p>
            <w:pPr>
              <w:keepLines/>
              <w:spacing w:after="0"/>
            </w:pPr>
            <w:r/>
            <w:r>
              <w:rPr>
                <w:rFonts w:ascii="Times New Roman" w:hAnsi="Times New Roman"/>
                <w:sz w:val="17"/>
              </w:rPr>
              <w:t>Punkte und tragende Texte</w:t>
            </w:r>
          </w:p>
        </w:tc>
        <w:tc>
          <w:tcPr>
            <w:tcW w:type="dxa" w:w="2742"/>
            <w:vAlign w:val="top"/>
            <w:tcMar>
              <w:top w:w="60" w:type="dxa"/>
              <w:start w:w="90" w:type="dxa"/>
              <w:bottom w:w="60" w:type="dxa"/>
              <w:end w:w="90" w:type="dxa"/>
            </w:tcMar>
            <w:shd w:fill="F1F3F3"/>
          </w:tcPr>
          <w:p>
            <w:pPr>
              <w:keepLines/>
              <w:spacing w:after="0"/>
            </w:pPr>
            <w:r/>
            <w:r>
              <w:rPr>
                <w:rFonts w:ascii="Times New Roman" w:hAnsi="Times New Roman"/>
                <w:sz w:val="17"/>
              </w:rPr>
              <w:t>Namen einzelner Beschäftigter</w:t>
            </w:r>
          </w:p>
        </w:tc>
      </w:tr>
      <w:tr>
        <w:trPr>
          <w:cantSplit/>
        </w:trPr>
        <w:tc>
          <w:tcPr>
            <w:tcW w:type="dxa" w:w="2278"/>
            <w:vAlign w:val="top"/>
            <w:tcMar>
              <w:top w:w="60" w:type="dxa"/>
              <w:start w:w="90" w:type="dxa"/>
              <w:bottom w:w="60" w:type="dxa"/>
              <w:end w:w="90" w:type="dxa"/>
            </w:tcMar>
          </w:tcPr>
          <w:p>
            <w:pPr>
              <w:keepLines/>
              <w:spacing w:after="0"/>
            </w:pPr>
            <w:r/>
            <w:r>
              <w:rPr>
                <w:rFonts w:ascii="Times New Roman" w:hAnsi="Times New Roman"/>
                <w:sz w:val="17"/>
              </w:rPr>
              <w:t>Angebotsauszüge A 12 und B 9</w:t>
            </w:r>
          </w:p>
        </w:tc>
        <w:tc>
          <w:tcPr>
            <w:tcW w:type="dxa" w:w="1768"/>
            <w:vAlign w:val="top"/>
            <w:tcMar>
              <w:top w:w="60" w:type="dxa"/>
              <w:start w:w="90" w:type="dxa"/>
              <w:bottom w:w="60" w:type="dxa"/>
              <w:end w:w="90" w:type="dxa"/>
            </w:tcMar>
          </w:tcPr>
          <w:p>
            <w:pPr>
              <w:keepLines/>
              <w:spacing w:after="0"/>
            </w:pPr>
            <w:r/>
            <w:r>
              <w:rPr>
                <w:rFonts w:ascii="Times New Roman" w:hAnsi="Times New Roman"/>
                <w:sz w:val="17"/>
              </w:rPr>
              <w:t>vollständig</w:t>
            </w:r>
          </w:p>
        </w:tc>
        <w:tc>
          <w:tcPr>
            <w:tcW w:type="dxa" w:w="2283"/>
            <w:vAlign w:val="top"/>
            <w:tcMar>
              <w:top w:w="60" w:type="dxa"/>
              <w:start w:w="90" w:type="dxa"/>
              <w:bottom w:w="60" w:type="dxa"/>
              <w:end w:w="90" w:type="dxa"/>
            </w:tcMar>
          </w:tcPr>
          <w:p>
            <w:pPr>
              <w:keepLines/>
              <w:spacing w:after="0"/>
            </w:pPr>
            <w:r/>
            <w:r>
              <w:rPr>
                <w:rFonts w:ascii="Times New Roman" w:hAnsi="Times New Roman"/>
                <w:sz w:val="17"/>
              </w:rPr>
              <w:t>leistungsbezogene Passagen</w:t>
            </w:r>
          </w:p>
        </w:tc>
        <w:tc>
          <w:tcPr>
            <w:tcW w:type="dxa" w:w="2742"/>
            <w:vAlign w:val="top"/>
            <w:tcMar>
              <w:top w:w="60" w:type="dxa"/>
              <w:start w:w="90" w:type="dxa"/>
              <w:bottom w:w="60" w:type="dxa"/>
              <w:end w:w="90" w:type="dxa"/>
            </w:tcMar>
          </w:tcPr>
          <w:p>
            <w:pPr>
              <w:keepLines/>
              <w:spacing w:after="0"/>
            </w:pPr>
            <w:r/>
            <w:r>
              <w:rPr>
                <w:rFonts w:ascii="Times New Roman" w:hAnsi="Times New Roman"/>
                <w:sz w:val="17"/>
              </w:rPr>
              <w:t>interne Personalnamen und Kalkulationsdetails</w:t>
            </w:r>
          </w:p>
        </w:tc>
      </w:tr>
      <w:tr>
        <w:trPr>
          <w:cantSplit/>
        </w:trPr>
        <w:tc>
          <w:tcPr>
            <w:tcW w:type="dxa" w:w="2278"/>
            <w:vAlign w:val="top"/>
            <w:tcMar>
              <w:top w:w="60" w:type="dxa"/>
              <w:start w:w="90" w:type="dxa"/>
              <w:bottom w:w="60" w:type="dxa"/>
              <w:end w:w="90" w:type="dxa"/>
            </w:tcMar>
            <w:shd w:fill="F1F3F3"/>
          </w:tcPr>
          <w:p>
            <w:pPr>
              <w:keepLines/>
              <w:spacing w:after="0"/>
            </w:pPr>
            <w:r/>
            <w:r>
              <w:rPr>
                <w:rFonts w:ascii="Times New Roman" w:hAnsi="Times New Roman"/>
                <w:sz w:val="17"/>
              </w:rPr>
              <w:t>Versionsprotokoll</w:t>
            </w:r>
          </w:p>
        </w:tc>
        <w:tc>
          <w:tcPr>
            <w:tcW w:type="dxa" w:w="1768"/>
            <w:vAlign w:val="top"/>
            <w:tcMar>
              <w:top w:w="60" w:type="dxa"/>
              <w:start w:w="90" w:type="dxa"/>
              <w:bottom w:w="60" w:type="dxa"/>
              <w:end w:w="90" w:type="dxa"/>
            </w:tcMar>
            <w:shd w:fill="F1F3F3"/>
          </w:tcPr>
          <w:p>
            <w:pPr>
              <w:keepLines/>
              <w:spacing w:after="0"/>
            </w:pPr>
            <w:r/>
            <w:r>
              <w:rPr>
                <w:rFonts w:ascii="Times New Roman" w:hAnsi="Times New Roman"/>
                <w:sz w:val="17"/>
              </w:rPr>
              <w:t>vollständig</w:t>
            </w:r>
          </w:p>
        </w:tc>
        <w:tc>
          <w:tcPr>
            <w:tcW w:type="dxa" w:w="2283"/>
            <w:vAlign w:val="top"/>
            <w:tcMar>
              <w:top w:w="60" w:type="dxa"/>
              <w:start w:w="90" w:type="dxa"/>
              <w:bottom w:w="60" w:type="dxa"/>
              <w:end w:w="90" w:type="dxa"/>
            </w:tcMar>
            <w:shd w:fill="F1F3F3"/>
          </w:tcPr>
          <w:p>
            <w:pPr>
              <w:keepLines/>
              <w:spacing w:after="0"/>
            </w:pPr>
            <w:r/>
            <w:r>
              <w:rPr>
                <w:rFonts w:ascii="Times New Roman" w:hAnsi="Times New Roman"/>
                <w:sz w:val="17"/>
              </w:rPr>
              <w:t>Zeitstempel und Freigabestatus</w:t>
            </w:r>
          </w:p>
        </w:tc>
        <w:tc>
          <w:tcPr>
            <w:tcW w:type="dxa" w:w="2742"/>
            <w:vAlign w:val="top"/>
            <w:tcMar>
              <w:top w:w="60" w:type="dxa"/>
              <w:start w:w="90" w:type="dxa"/>
              <w:bottom w:w="60" w:type="dxa"/>
              <w:end w:w="90" w:type="dxa"/>
            </w:tcMar>
            <w:shd w:fill="F1F3F3"/>
          </w:tcPr>
          <w:p>
            <w:pPr>
              <w:keepLines/>
              <w:spacing w:after="0"/>
            </w:pPr>
            <w:r/>
            <w:r>
              <w:rPr>
                <w:rFonts w:ascii="Times New Roman" w:hAnsi="Times New Roman"/>
                <w:sz w:val="17"/>
              </w:rPr>
              <w:t>Systemnutzerkennungen</w:t>
            </w:r>
          </w:p>
        </w:tc>
      </w:tr>
      <w:tr>
        <w:trPr>
          <w:cantSplit/>
        </w:trPr>
        <w:tc>
          <w:tcPr>
            <w:tcW w:type="dxa" w:w="2278"/>
            <w:vAlign w:val="top"/>
            <w:tcMar>
              <w:top w:w="60" w:type="dxa"/>
              <w:start w:w="90" w:type="dxa"/>
              <w:bottom w:w="60" w:type="dxa"/>
              <w:end w:w="90" w:type="dxa"/>
            </w:tcMar>
          </w:tcPr>
          <w:p>
            <w:pPr>
              <w:keepLines/>
              <w:spacing w:after="0"/>
            </w:pPr>
            <w:r/>
            <w:r>
              <w:rPr>
                <w:rFonts w:ascii="Times New Roman" w:hAnsi="Times New Roman"/>
                <w:sz w:val="17"/>
              </w:rPr>
              <w:t>Rechentabelle</w:t>
            </w:r>
          </w:p>
        </w:tc>
        <w:tc>
          <w:tcPr>
            <w:tcW w:type="dxa" w:w="1768"/>
            <w:vAlign w:val="top"/>
            <w:tcMar>
              <w:top w:w="60" w:type="dxa"/>
              <w:start w:w="90" w:type="dxa"/>
              <w:bottom w:w="60" w:type="dxa"/>
              <w:end w:w="90" w:type="dxa"/>
            </w:tcMar>
          </w:tcPr>
          <w:p>
            <w:pPr>
              <w:keepLines/>
              <w:spacing w:after="0"/>
            </w:pPr>
            <w:r/>
            <w:r>
              <w:rPr>
                <w:rFonts w:ascii="Times New Roman" w:hAnsi="Times New Roman"/>
                <w:sz w:val="17"/>
              </w:rPr>
              <w:t>vollständig</w:t>
            </w:r>
          </w:p>
        </w:tc>
        <w:tc>
          <w:tcPr>
            <w:tcW w:type="dxa" w:w="2283"/>
            <w:vAlign w:val="top"/>
            <w:tcMar>
              <w:top w:w="60" w:type="dxa"/>
              <w:start w:w="90" w:type="dxa"/>
              <w:bottom w:w="60" w:type="dxa"/>
              <w:end w:w="90" w:type="dxa"/>
            </w:tcMar>
          </w:tcPr>
          <w:p>
            <w:pPr>
              <w:keepLines/>
              <w:spacing w:after="0"/>
            </w:pPr>
            <w:r/>
            <w:r>
              <w:rPr>
                <w:rFonts w:ascii="Times New Roman" w:hAnsi="Times New Roman"/>
                <w:sz w:val="17"/>
              </w:rPr>
              <w:t>alle wertungsrelevanten Zahlen</w:t>
            </w:r>
          </w:p>
        </w:tc>
        <w:tc>
          <w:tcPr>
            <w:tcW w:type="dxa" w:w="2742"/>
            <w:vAlign w:val="top"/>
            <w:tcMar>
              <w:top w:w="60" w:type="dxa"/>
              <w:start w:w="90" w:type="dxa"/>
              <w:bottom w:w="60" w:type="dxa"/>
              <w:end w:w="90" w:type="dxa"/>
            </w:tcMar>
          </w:tcPr>
          <w:p>
            <w:pPr>
              <w:keepLines/>
              <w:spacing w:after="0"/>
            </w:pPr>
            <w:r/>
            <w:r>
              <w:rPr>
                <w:rFonts w:ascii="Times New Roman" w:hAnsi="Times New Roman"/>
                <w:sz w:val="17"/>
              </w:rPr>
              <w:t>keine</w:t>
            </w:r>
          </w:p>
        </w:tc>
      </w:tr>
    </w:tbl>
    <w:p>
      <w:pPr>
        <w:spacing w:after="0" w:before="40"/>
      </w:pPr>
    </w:p>
    <w:p>
      <w:pPr>
        <w:keepNext/>
        <w:keepLines/>
      </w:pPr>
      <w:r>
        <w:t>Jede Schwärzung ist im separaten Verzeichnis mit Dokument, Seite, Textbereich und Schutzgrund bezeichnet. Die Stadt beantragt keine Geheimhaltung solcher Angaben, die für Wertungsmaßstab, Punkteabstand oder Kausalität erheblich sind.</w:t>
      </w:r>
    </w:p>
    <w:p>
      <w:pPr>
        <w:keepLines/>
      </w:pPr>
      <w:r>
        <w:t>Stadt Musterstadt Zentrale Vergabestelle</w:t>
      </w:r>
    </w:p>
    <w:sectPr w:rsidR="00FC693F" w:rsidRPr="0006063C" w:rsidSect="00034616">
      <w:headerReference w:type="default" r:id="rId9"/>
      <w:footerReference w:type="default" r:id="rId10"/>
      <w:pgSz w:w="11906" w:h="16838"/>
      <w:pgMar w:top="1020" w:right="1417" w:bottom="935" w:left="1417" w:header="425" w:footer="42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Times New Roman" w:hAnsi="Times New Roman"/>
        <w:color w:val="646464"/>
        <w:sz w:val="16"/>
      </w:rPr>
      <w:t>Aktenstück</w:t>
      <w:t xml:space="preserve">  |  VK ML 9-27/26 / VS-2026-RE-014</w:t>
      <w:t xml:space="preserve">  |  Seite </w:t>
    </w:r>
    <w:r>
      <w:rPr>
        <w:rFonts w:ascii="Times New Roman" w:hAnsi="Times New Roman"/>
        <w:color w:val="646464"/>
        <w:sz w:val="16"/>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Times New Roman" w:hAnsi="Times New Roman"/>
        <w:color w:val="646464"/>
        <w:sz w:val="16"/>
      </w:rPr>
      <w:t>Stadt Musterstadt - Zentrale Vergabestelle</w:t>
      <w:t xml:space="preserve">  |  VK ML 9-27/26 / VS-2026-RE-014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0" w:lineRule="auto"/>
    </w:pPr>
    <w:rPr>
      <w:rFonts w:ascii="Times New Roman" w:hAnsi="Times New Roman" w:eastAsia="Times New Roman"/>
      <w:b w:val="0"/>
      <w:color w:val="1F1F1F"/>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Times New Roman" w:hAnsi="Times New Roman" w:eastAsia="Times New Roman"/>
      <w:b/>
      <w:bCs/>
      <w:color w:val="01696F"/>
      <w:sz w:val="25"/>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Times New Roman" w:hAnsi="Times New Roman" w:eastAsia="Times New Roman"/>
      <w:b/>
      <w:bCs/>
      <w:color w:val="1F1F1F"/>
      <w:sz w:val="22"/>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Times New Roman" w:hAnsi="Times New Roman" w:eastAsia="Times New Roman"/>
      <w:b/>
      <w:bCs/>
      <w:color w:val="646464"/>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80" w:line="240" w:lineRule="auto" w:before="0"/>
      <w:contextualSpacing/>
    </w:pPr>
    <w:rPr>
      <w:rFonts w:asciiTheme="majorHAnsi" w:eastAsiaTheme="majorEastAsia" w:hAnsiTheme="majorHAnsi" w:cstheme="majorBidi" w:ascii="Times New Roman" w:hAnsi="Times New Roman" w:eastAsia="Times New Roman"/>
      <w:b/>
      <w:color w:val="01696F"/>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Times New Roman" w:hAnsi="Times New Roman" w:eastAsia="Times New Roman"/>
      <w:b w:val="0"/>
      <w:color w:val="1F1F1F"/>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Times New Roman" w:hAnsi="Times New Roman" w:eastAsia="Times New Roman"/>
      <w:b w:val="0"/>
      <w:color w:val="1F1F1F"/>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xsi="http://www.w3.org/2001/XMLSchema-instance">
  <dc:title>Stellungnahme zur Wertung der Reinigungskonzepte</dc:title>
  <dc:subject>Stellungnahme im Nachprüfungsverfahren | Az. VK ML 9-27/26 / VS-2026-RE-014</dc:subject>
  <dc:creator>Stadt Musterstadt - Zentrale Vergabestelle</dc:creator>
  <cp:keywords>Vergaberecht, VK ML 9-27/26 / VS-2026-RE-014, Stellungnahme im Nachprüfungsverfahren</cp:keywords>
  <dc:description>generated by python-docx</dc:description>
  <cp:lastModifiedBy>Stadt Musterstadt - Zentrale Vergabestelle</cp:lastModifiedBy>
  <cp:revision>1</cp:revision>
  <dcterms:created xsi:type="dcterms:W3CDTF">2000-01-01T00:00:00Z</dcterms:created>
  <dcterms:modified xsi:type="dcterms:W3CDTF">2000-01-01T00:00:00Z</dcterms:modified>
  <cp:category>Vergabeakte</cp:category>
</cp:coreProperties>
</file>