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Landesamt für Digitalisierung Musterland</w:t>
            </w:r>
          </w:p>
          <w:p>
            <w:pPr>
              <w:spacing w:after="0"/>
            </w:pPr>
            <w:r>
              <w:rPr>
                <w:color w:val="646464"/>
                <w:sz w:val="18"/>
              </w:rPr>
              <w:t>Musterallee 10, 99000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13.07.2026</w:t>
              <w:br/>
            </w:r>
            <w:r>
              <w:rPr>
                <w:rFonts w:ascii="Times New Roman" w:hAnsi="Times New Roman"/>
                <w:color w:val="646464"/>
                <w:sz w:val="18"/>
              </w:rPr>
              <w:t>Aktenzeichen: LAD-IT-2026-044</w:t>
              <w:br/>
            </w:r>
            <w:r>
              <w:rPr>
                <w:rFonts w:ascii="Times New Roman" w:hAnsi="Times New Roman"/>
                <w:color w:val="646464"/>
                <w:sz w:val="18"/>
              </w:rPr>
              <w:t>Nichtabhilfeentscheidung</w:t>
            </w:r>
          </w:p>
        </w:tc>
      </w:tr>
    </w:tbl>
    <w:p>
      <w:pPr>
        <w:spacing w:before="200" w:after="40"/>
      </w:pPr>
      <w:r>
        <w:rPr>
          <w:rFonts w:ascii="Times New Roman" w:hAnsi="Times New Roman"/>
          <w:color w:val="646464"/>
          <w:sz w:val="15"/>
        </w:rPr>
        <w:t>Landesamt für Digitalisierung Musterland · Musterallee 10, 99000 Musterstadt</w:t>
      </w:r>
    </w:p>
    <w:p>
      <w:pPr>
        <w:spacing w:after="240"/>
      </w:pPr>
      <w:r>
        <w:t>Kanzlei Dr. Rademacher Vergaberecht</w:t>
      </w:r>
    </w:p>
    <w:p>
      <w:pPr>
        <w:pStyle w:val="Title"/>
      </w:pPr>
      <w:r>
        <w:t>Rüge vom 09.07.2026 - teilweise Klarstellung, keine Abhilfe</w:t>
      </w:r>
    </w:p>
    <w:p>
      <w:r>
        <w:t>Sehr geehrte Damen und Herren,</w:t>
      </w:r>
    </w:p>
    <w:p>
      <w:r>
        <w:t>der Rüge wird nicht abgeholfen. Die Zuschlagsentscheidung bleibt bestehen.</w:t>
      </w:r>
    </w:p>
    <w:p>
      <w:pPr>
        <w:pStyle w:val="Heading1"/>
      </w:pPr>
      <w:r>
        <w:t>1. Servicewertung</w:t>
      </w:r>
    </w:p>
    <w:p>
      <w:pPr>
        <w:keepNext/>
        <w:keepLines/>
      </w:pPr>
      <w:r>
        <w:t>Der Austauschpool wurde berücksichtigt. TechLine sagte den Austausch bis zum folgenden Arbeitstag zu; NordDevice sagte bei Meldung bis 12:00 Uhr einen Austausch noch am selben Arbeitstag zu. Für landesweit 23 Dienststellen wurde dieser belegte Zeitvorteil innerhalb des Kriteriums Austauschlogistik höher bewertet. Beim Eskalationsweg fehlte bei TechLine eine verbindliche Reaktionszeit der dritten Supportstufe. Die Wertungsgruppe hat keine nicht bekannt gemachte Ortsnähe bewertet.</w:t>
      </w:r>
    </w:p>
    <w:p>
      <w:pPr>
        <w:pStyle w:val="Heading1"/>
        <w:keepNext/>
        <w:keepLines/>
      </w:pPr>
      <w:r>
        <w:t>2. Dockingstation</w:t>
      </w:r>
    </w:p>
    <w:p>
      <w:pPr>
        <w:keepNext/>
        <w:keepLines/>
      </w:pPr>
      <w:r>
        <w:t>Die angebotene Station wurde als technisch gleichwertig zugelassen und nicht abgewertet. Ein interner Prüfvermerk verwendete irrtümlich die Formulierung Standarddock des Bestandsherstellers; diese Formulierung hatte keine Punktwirkung. Der Vermerk wird berichtigt, ohne das Angebot oder die Wertung zu verändern.</w:t>
      </w:r>
    </w:p>
    <w:p>
      <w:pPr>
        <w:pStyle w:val="Heading1"/>
        <w:keepNext/>
        <w:keepLines/>
      </w:pPr>
      <w:r>
        <w:t>3. Kontrollrechnung</w:t>
      </w:r>
    </w:p>
    <w:tbl>
      <w:tblPr>
        <w:tblStyle w:val="TableGrid"/>
        <w:tblW w:type="dxa" w:w="9070"/>
        <w:jc w:val="left"/>
        <w:tblLayout w:type="fixed"/>
        <w:tblLook w:firstColumn="1" w:firstRow="1" w:lastColumn="0" w:lastRow="0" w:noHBand="0" w:noVBand="1" w:val="04A0"/>
      </w:tblPr>
      <w:tblGrid>
        <w:gridCol w:w="2353"/>
        <w:gridCol w:w="2239"/>
        <w:gridCol w:w="2239"/>
        <w:gridCol w:w="2239"/>
      </w:tblGrid>
      <w:tr>
        <w:trPr>
          <w:tblHeader w:val="true"/>
          <w:cantSplit/>
        </w:trPr>
        <w:tc>
          <w:tcPr>
            <w:tcW w:type="dxa" w:w="2353"/>
            <w:vAlign w:val="top"/>
            <w:tcMar>
              <w:top w:w="60" w:type="dxa"/>
              <w:start w:w="90" w:type="dxa"/>
              <w:bottom w:w="60" w:type="dxa"/>
              <w:end w:w="90" w:type="dxa"/>
            </w:tcMar>
            <w:shd w:fill="01696F"/>
          </w:tcPr>
          <w:p>
            <w:pPr>
              <w:keepLines/>
              <w:spacing w:after="0"/>
            </w:pPr>
            <w:r/>
            <w:r>
              <w:rPr>
                <w:rFonts w:ascii="Times New Roman" w:hAnsi="Times New Roman"/>
                <w:b/>
                <w:color w:val="FFFFFF"/>
                <w:sz w:val="17"/>
              </w:rPr>
              <w:t>Kriterium</w:t>
            </w:r>
          </w:p>
        </w:tc>
        <w:tc>
          <w:tcPr>
            <w:tcW w:type="dxa" w:w="2239"/>
            <w:vAlign w:val="top"/>
            <w:tcMar>
              <w:top w:w="60" w:type="dxa"/>
              <w:start w:w="90" w:type="dxa"/>
              <w:bottom w:w="60" w:type="dxa"/>
              <w:end w:w="90" w:type="dxa"/>
            </w:tcMar>
            <w:shd w:fill="01696F"/>
          </w:tcPr>
          <w:p>
            <w:pPr>
              <w:keepLines/>
              <w:spacing w:after="0"/>
            </w:pPr>
            <w:r/>
            <w:r>
              <w:rPr>
                <w:rFonts w:ascii="Times New Roman" w:hAnsi="Times New Roman"/>
                <w:b/>
                <w:color w:val="FFFFFF"/>
                <w:sz w:val="17"/>
              </w:rPr>
              <w:t>TechLine</w:t>
            </w:r>
          </w:p>
        </w:tc>
        <w:tc>
          <w:tcPr>
            <w:tcW w:type="dxa" w:w="2239"/>
            <w:vAlign w:val="top"/>
            <w:tcMar>
              <w:top w:w="60" w:type="dxa"/>
              <w:start w:w="90" w:type="dxa"/>
              <w:bottom w:w="60" w:type="dxa"/>
              <w:end w:w="90" w:type="dxa"/>
            </w:tcMar>
            <w:shd w:fill="01696F"/>
          </w:tcPr>
          <w:p>
            <w:pPr>
              <w:keepLines/>
              <w:spacing w:after="0"/>
            </w:pPr>
            <w:r/>
            <w:r>
              <w:rPr>
                <w:rFonts w:ascii="Times New Roman" w:hAnsi="Times New Roman"/>
                <w:b/>
                <w:color w:val="FFFFFF"/>
                <w:sz w:val="17"/>
              </w:rPr>
              <w:t>NordDevice</w:t>
            </w:r>
          </w:p>
        </w:tc>
        <w:tc>
          <w:tcPr>
            <w:tcW w:type="dxa" w:w="2239"/>
            <w:vAlign w:val="top"/>
            <w:tcMar>
              <w:top w:w="60" w:type="dxa"/>
              <w:start w:w="90" w:type="dxa"/>
              <w:bottom w:w="60" w:type="dxa"/>
              <w:end w:w="90" w:type="dxa"/>
            </w:tcMar>
            <w:shd w:fill="01696F"/>
          </w:tcPr>
          <w:p>
            <w:pPr>
              <w:keepLines/>
              <w:spacing w:after="0"/>
            </w:pPr>
            <w:r/>
            <w:r>
              <w:rPr>
                <w:rFonts w:ascii="Times New Roman" w:hAnsi="Times New Roman"/>
                <w:b/>
                <w:color w:val="FFFFFF"/>
                <w:sz w:val="17"/>
              </w:rPr>
              <w:t>maximal</w:t>
            </w:r>
          </w:p>
        </w:tc>
      </w:tr>
      <w:tr>
        <w:trPr>
          <w:cantSplit/>
        </w:trPr>
        <w:tc>
          <w:tcPr>
            <w:tcW w:type="dxa" w:w="2353"/>
            <w:vAlign w:val="top"/>
            <w:tcMar>
              <w:top w:w="60" w:type="dxa"/>
              <w:start w:w="90" w:type="dxa"/>
              <w:bottom w:w="60" w:type="dxa"/>
              <w:end w:w="90" w:type="dxa"/>
            </w:tcMar>
          </w:tcPr>
          <w:p>
            <w:pPr>
              <w:keepLines/>
              <w:spacing w:after="0"/>
            </w:pPr>
            <w:r/>
            <w:r>
              <w:rPr>
                <w:rFonts w:ascii="Times New Roman" w:hAnsi="Times New Roman"/>
                <w:sz w:val="17"/>
              </w:rPr>
              <w:t>Preis</w:t>
            </w:r>
          </w:p>
        </w:tc>
        <w:tc>
          <w:tcPr>
            <w:tcW w:type="dxa" w:w="2239"/>
            <w:vAlign w:val="top"/>
            <w:tcMar>
              <w:top w:w="60" w:type="dxa"/>
              <w:start w:w="90" w:type="dxa"/>
              <w:bottom w:w="60" w:type="dxa"/>
              <w:end w:w="90" w:type="dxa"/>
            </w:tcMar>
          </w:tcPr>
          <w:p>
            <w:pPr>
              <w:keepLines/>
              <w:spacing w:after="0"/>
            </w:pPr>
            <w:r/>
            <w:r>
              <w:rPr>
                <w:rFonts w:ascii="Times New Roman" w:hAnsi="Times New Roman"/>
                <w:sz w:val="17"/>
              </w:rPr>
              <w:t>55,70</w:t>
            </w:r>
          </w:p>
        </w:tc>
        <w:tc>
          <w:tcPr>
            <w:tcW w:type="dxa" w:w="2239"/>
            <w:vAlign w:val="top"/>
            <w:tcMar>
              <w:top w:w="60" w:type="dxa"/>
              <w:start w:w="90" w:type="dxa"/>
              <w:bottom w:w="60" w:type="dxa"/>
              <w:end w:w="90" w:type="dxa"/>
            </w:tcMar>
          </w:tcPr>
          <w:p>
            <w:pPr>
              <w:keepLines/>
              <w:spacing w:after="0"/>
            </w:pPr>
            <w:r/>
            <w:r>
              <w:rPr>
                <w:rFonts w:ascii="Times New Roman" w:hAnsi="Times New Roman"/>
                <w:sz w:val="17"/>
              </w:rPr>
              <w:t>60,00</w:t>
            </w:r>
          </w:p>
        </w:tc>
        <w:tc>
          <w:tcPr>
            <w:tcW w:type="dxa" w:w="2239"/>
            <w:vAlign w:val="top"/>
            <w:tcMar>
              <w:top w:w="60" w:type="dxa"/>
              <w:start w:w="90" w:type="dxa"/>
              <w:bottom w:w="60" w:type="dxa"/>
              <w:end w:w="90" w:type="dxa"/>
            </w:tcMar>
          </w:tcPr>
          <w:p>
            <w:pPr>
              <w:keepLines/>
              <w:spacing w:after="0"/>
            </w:pPr>
            <w:r/>
            <w:r>
              <w:rPr>
                <w:rFonts w:ascii="Times New Roman" w:hAnsi="Times New Roman"/>
                <w:sz w:val="17"/>
              </w:rPr>
              <w:t>60,00</w:t>
            </w:r>
          </w:p>
        </w:tc>
      </w:tr>
      <w:tr>
        <w:trPr>
          <w:cantSplit/>
        </w:trPr>
        <w:tc>
          <w:tcPr>
            <w:tcW w:type="dxa" w:w="2353"/>
            <w:vAlign w:val="top"/>
            <w:tcMar>
              <w:top w:w="60" w:type="dxa"/>
              <w:start w:w="90" w:type="dxa"/>
              <w:bottom w:w="60" w:type="dxa"/>
              <w:end w:w="90" w:type="dxa"/>
            </w:tcMar>
            <w:shd w:fill="F1F3F3"/>
          </w:tcPr>
          <w:p>
            <w:pPr>
              <w:keepLines/>
              <w:spacing w:after="0"/>
            </w:pPr>
            <w:r/>
            <w:r>
              <w:rPr>
                <w:rFonts w:ascii="Times New Roman" w:hAnsi="Times New Roman"/>
                <w:sz w:val="17"/>
              </w:rPr>
              <w:t>Service</w:t>
            </w:r>
          </w:p>
        </w:tc>
        <w:tc>
          <w:tcPr>
            <w:tcW w:type="dxa" w:w="2239"/>
            <w:vAlign w:val="top"/>
            <w:tcMar>
              <w:top w:w="60" w:type="dxa"/>
              <w:start w:w="90" w:type="dxa"/>
              <w:bottom w:w="60" w:type="dxa"/>
              <w:end w:w="90" w:type="dxa"/>
            </w:tcMar>
            <w:shd w:fill="F1F3F3"/>
          </w:tcPr>
          <w:p>
            <w:pPr>
              <w:keepLines/>
              <w:spacing w:after="0"/>
            </w:pPr>
            <w:r/>
            <w:r>
              <w:rPr>
                <w:rFonts w:ascii="Times New Roman" w:hAnsi="Times New Roman"/>
                <w:sz w:val="17"/>
              </w:rPr>
              <w:t>23,00</w:t>
            </w:r>
          </w:p>
        </w:tc>
        <w:tc>
          <w:tcPr>
            <w:tcW w:type="dxa" w:w="2239"/>
            <w:vAlign w:val="top"/>
            <w:tcMar>
              <w:top w:w="60" w:type="dxa"/>
              <w:start w:w="90" w:type="dxa"/>
              <w:bottom w:w="60" w:type="dxa"/>
              <w:end w:w="90" w:type="dxa"/>
            </w:tcMar>
            <w:shd w:fill="F1F3F3"/>
          </w:tcPr>
          <w:p>
            <w:pPr>
              <w:keepLines/>
              <w:spacing w:after="0"/>
            </w:pPr>
            <w:r/>
            <w:r>
              <w:rPr>
                <w:rFonts w:ascii="Times New Roman" w:hAnsi="Times New Roman"/>
                <w:sz w:val="17"/>
              </w:rPr>
              <w:t>27,00</w:t>
            </w:r>
          </w:p>
        </w:tc>
        <w:tc>
          <w:tcPr>
            <w:tcW w:type="dxa" w:w="2239"/>
            <w:vAlign w:val="top"/>
            <w:tcMar>
              <w:top w:w="60" w:type="dxa"/>
              <w:start w:w="90" w:type="dxa"/>
              <w:bottom w:w="60" w:type="dxa"/>
              <w:end w:w="90" w:type="dxa"/>
            </w:tcMar>
            <w:shd w:fill="F1F3F3"/>
          </w:tcPr>
          <w:p>
            <w:pPr>
              <w:keepLines/>
              <w:spacing w:after="0"/>
            </w:pPr>
            <w:r/>
            <w:r>
              <w:rPr>
                <w:rFonts w:ascii="Times New Roman" w:hAnsi="Times New Roman"/>
                <w:sz w:val="17"/>
              </w:rPr>
              <w:t>30,00</w:t>
            </w:r>
          </w:p>
        </w:tc>
      </w:tr>
      <w:tr>
        <w:trPr>
          <w:cantSplit/>
        </w:trPr>
        <w:tc>
          <w:tcPr>
            <w:tcW w:type="dxa" w:w="2353"/>
            <w:vAlign w:val="top"/>
            <w:tcMar>
              <w:top w:w="60" w:type="dxa"/>
              <w:start w:w="90" w:type="dxa"/>
              <w:bottom w:w="60" w:type="dxa"/>
              <w:end w:w="90" w:type="dxa"/>
            </w:tcMar>
          </w:tcPr>
          <w:p>
            <w:pPr>
              <w:keepLines/>
              <w:spacing w:after="0"/>
            </w:pPr>
            <w:r/>
            <w:r>
              <w:rPr>
                <w:rFonts w:ascii="Times New Roman" w:hAnsi="Times New Roman"/>
                <w:sz w:val="17"/>
              </w:rPr>
              <w:t>Nachhaltigkeit</w:t>
            </w:r>
          </w:p>
        </w:tc>
        <w:tc>
          <w:tcPr>
            <w:tcW w:type="dxa" w:w="2239"/>
            <w:vAlign w:val="top"/>
            <w:tcMar>
              <w:top w:w="60" w:type="dxa"/>
              <w:start w:w="90" w:type="dxa"/>
              <w:bottom w:w="60" w:type="dxa"/>
              <w:end w:w="90" w:type="dxa"/>
            </w:tcMar>
          </w:tcPr>
          <w:p>
            <w:pPr>
              <w:keepLines/>
              <w:spacing w:after="0"/>
            </w:pPr>
            <w:r/>
            <w:r>
              <w:rPr>
                <w:rFonts w:ascii="Times New Roman" w:hAnsi="Times New Roman"/>
                <w:sz w:val="17"/>
              </w:rPr>
              <w:t>9,00</w:t>
            </w:r>
          </w:p>
        </w:tc>
        <w:tc>
          <w:tcPr>
            <w:tcW w:type="dxa" w:w="2239"/>
            <w:vAlign w:val="top"/>
            <w:tcMar>
              <w:top w:w="60" w:type="dxa"/>
              <w:start w:w="90" w:type="dxa"/>
              <w:bottom w:w="60" w:type="dxa"/>
              <w:end w:w="90" w:type="dxa"/>
            </w:tcMar>
          </w:tcPr>
          <w:p>
            <w:pPr>
              <w:keepLines/>
              <w:spacing w:after="0"/>
            </w:pPr>
            <w:r/>
            <w:r>
              <w:rPr>
                <w:rFonts w:ascii="Times New Roman" w:hAnsi="Times New Roman"/>
                <w:sz w:val="17"/>
              </w:rPr>
              <w:t>8,00</w:t>
            </w:r>
          </w:p>
        </w:tc>
        <w:tc>
          <w:tcPr>
            <w:tcW w:type="dxa" w:w="2239"/>
            <w:vAlign w:val="top"/>
            <w:tcMar>
              <w:top w:w="60" w:type="dxa"/>
              <w:start w:w="90" w:type="dxa"/>
              <w:bottom w:w="60" w:type="dxa"/>
              <w:end w:w="90" w:type="dxa"/>
            </w:tcMar>
          </w:tcPr>
          <w:p>
            <w:pPr>
              <w:keepLines/>
              <w:spacing w:after="0"/>
            </w:pPr>
            <w:r/>
            <w:r>
              <w:rPr>
                <w:rFonts w:ascii="Times New Roman" w:hAnsi="Times New Roman"/>
                <w:sz w:val="17"/>
              </w:rPr>
              <w:t>10,00</w:t>
            </w:r>
          </w:p>
        </w:tc>
      </w:tr>
      <w:tr>
        <w:trPr>
          <w:cantSplit/>
        </w:trPr>
        <w:tc>
          <w:tcPr>
            <w:tcW w:type="dxa" w:w="2353"/>
            <w:vAlign w:val="top"/>
            <w:tcMar>
              <w:top w:w="60" w:type="dxa"/>
              <w:start w:w="90" w:type="dxa"/>
              <w:bottom w:w="60" w:type="dxa"/>
              <w:end w:w="90" w:type="dxa"/>
            </w:tcMar>
            <w:shd w:fill="F1F3F3"/>
          </w:tcPr>
          <w:p>
            <w:pPr>
              <w:keepLines/>
              <w:spacing w:after="0"/>
            </w:pPr>
            <w:r/>
            <w:r>
              <w:rPr>
                <w:rFonts w:ascii="Times New Roman" w:hAnsi="Times New Roman"/>
                <w:sz w:val="17"/>
              </w:rPr>
              <w:t>Gesamt</w:t>
            </w:r>
          </w:p>
        </w:tc>
        <w:tc>
          <w:tcPr>
            <w:tcW w:type="dxa" w:w="2239"/>
            <w:vAlign w:val="top"/>
            <w:tcMar>
              <w:top w:w="60" w:type="dxa"/>
              <w:start w:w="90" w:type="dxa"/>
              <w:bottom w:w="60" w:type="dxa"/>
              <w:end w:w="90" w:type="dxa"/>
            </w:tcMar>
            <w:shd w:fill="F1F3F3"/>
          </w:tcPr>
          <w:p>
            <w:pPr>
              <w:keepLines/>
              <w:spacing w:after="0"/>
            </w:pPr>
            <w:r/>
            <w:r>
              <w:rPr>
                <w:rFonts w:ascii="Times New Roman" w:hAnsi="Times New Roman"/>
                <w:sz w:val="17"/>
              </w:rPr>
              <w:t>87,70</w:t>
            </w:r>
          </w:p>
        </w:tc>
        <w:tc>
          <w:tcPr>
            <w:tcW w:type="dxa" w:w="2239"/>
            <w:vAlign w:val="top"/>
            <w:tcMar>
              <w:top w:w="60" w:type="dxa"/>
              <w:start w:w="90" w:type="dxa"/>
              <w:bottom w:w="60" w:type="dxa"/>
              <w:end w:w="90" w:type="dxa"/>
            </w:tcMar>
            <w:shd w:fill="F1F3F3"/>
          </w:tcPr>
          <w:p>
            <w:pPr>
              <w:keepLines/>
              <w:spacing w:after="0"/>
            </w:pPr>
            <w:r/>
            <w:r>
              <w:rPr>
                <w:rFonts w:ascii="Times New Roman" w:hAnsi="Times New Roman"/>
                <w:sz w:val="17"/>
              </w:rPr>
              <w:t>95,00</w:t>
            </w:r>
          </w:p>
        </w:tc>
        <w:tc>
          <w:tcPr>
            <w:tcW w:type="dxa" w:w="2239"/>
            <w:vAlign w:val="top"/>
            <w:tcMar>
              <w:top w:w="60" w:type="dxa"/>
              <w:start w:w="90" w:type="dxa"/>
              <w:bottom w:w="60" w:type="dxa"/>
              <w:end w:w="90" w:type="dxa"/>
            </w:tcMar>
            <w:shd w:fill="F1F3F3"/>
          </w:tcPr>
          <w:p>
            <w:pPr>
              <w:keepLines/>
              <w:spacing w:after="0"/>
            </w:pPr>
            <w:r/>
            <w:r>
              <w:rPr>
                <w:rFonts w:ascii="Times New Roman" w:hAnsi="Times New Roman"/>
                <w:sz w:val="17"/>
              </w:rPr>
              <w:t>100,00</w:t>
            </w:r>
          </w:p>
        </w:tc>
      </w:tr>
    </w:tbl>
    <w:p>
      <w:pPr>
        <w:spacing w:after="0" w:before="40"/>
      </w:pPr>
    </w:p>
    <w:p>
      <w:pPr>
        <w:keepNext/>
        <w:keepLines/>
      </w:pPr>
      <w:r>
        <w:t>Die Rüge hat eine sprachliche Unschärfe, aber keinen Wertungsfehler aufgezeigt. Die am 07.07.2026 ausgelöste Stillhaltefrist wird nicht neu berechnet.</w:t>
      </w:r>
    </w:p>
    <w:p>
      <w:pPr>
        <w:keepNext/>
        <w:keepLines/>
      </w:pPr>
      <w:r>
        <w:t>Mit freundlichen Grüßen</w:t>
      </w:r>
    </w:p>
    <w:p>
      <w:pPr>
        <w:keepLines/>
      </w:pPr>
      <w:r>
        <w:t>Landesamt für Digitalisierung Musterland Zentrale Beschaffung</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LAD-IT-2026-044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Landesamt für Digitalisierung Musterland</w:t>
      <w:t xml:space="preserve">  |  LAD-IT-2026-044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Rüge vom 09.07.2026 - teilweise Klarstellung, keine Abhilfe</dc:title>
  <dc:subject>Nichtabhilfeentscheidung | Az. LAD-IT-2026-044</dc:subject>
  <dc:creator>Landesamt für Digitalisierung Musterland</dc:creator>
  <cp:keywords>Vergaberecht, LAD-IT-2026-044, Nichtabhilfeentscheidung</cp:keywords>
  <dc:description>generated by python-docx</dc:description>
  <cp:lastModifiedBy>Landesamt für Digitalisierung Musterland</cp:lastModifiedBy>
  <cp:revision>1</cp:revision>
  <dcterms:created xsi:type="dcterms:W3CDTF">2000-01-01T00:00:00Z</dcterms:created>
  <dcterms:modified xsi:type="dcterms:W3CDTF">2000-01-01T00:00:00Z</dcterms:modified>
  <cp:category>Vergabeakte</cp:category>
</cp:coreProperties>
</file>