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Kanzlei Dr. Rademacher Vergaberecht</w:t>
            </w:r>
          </w:p>
          <w:p>
            <w:pPr>
              <w:spacing w:after="0"/>
            </w:pPr>
            <w:r>
              <w:rPr>
                <w:color w:val="646464"/>
                <w:sz w:val="18"/>
              </w:rPr>
              <w:t>Behördenring 7, 99084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16.07.2026</w:t>
              <w:br/>
            </w:r>
            <w:r>
              <w:rPr>
                <w:rFonts w:ascii="Times New Roman" w:hAnsi="Times New Roman"/>
                <w:color w:val="646464"/>
                <w:sz w:val="18"/>
              </w:rPr>
              <w:t>Aktenzeichen: RAD-88/26 / LAD-IT-2026-044</w:t>
              <w:br/>
            </w:r>
            <w:r>
              <w:rPr>
                <w:rFonts w:ascii="Times New Roman" w:hAnsi="Times New Roman"/>
                <w:color w:val="646464"/>
                <w:sz w:val="18"/>
              </w:rPr>
              <w:t>Nachprüfungsantrag</w:t>
            </w:r>
          </w:p>
        </w:tc>
      </w:tr>
    </w:tbl>
    <w:p>
      <w:pPr>
        <w:spacing w:before="200" w:after="40"/>
      </w:pPr>
      <w:r>
        <w:rPr>
          <w:rFonts w:ascii="Times New Roman" w:hAnsi="Times New Roman"/>
          <w:color w:val="646464"/>
          <w:sz w:val="15"/>
        </w:rPr>
        <w:t>Kanzlei Dr. Rademacher Vergaberecht · Behördenring 7, 99084 Musterstadt</w:t>
      </w:r>
    </w:p>
    <w:p>
      <w:pPr>
        <w:spacing w:after="240"/>
      </w:pPr>
      <w:r>
        <w:t>Zuständige Vergabekammer Musterland</w:t>
      </w:r>
    </w:p>
    <w:p>
      <w:pPr>
        <w:pStyle w:val="Title"/>
      </w:pPr>
      <w:r>
        <w:t>Nachprüfungsantrag TechLine Systeme GmbH</w:t>
      </w:r>
    </w:p>
    <w:p>
      <w:r>
        <w:t>Namens der TechLine Systeme GmbH wird beantragt,</w:t>
      </w:r>
    </w:p>
    <w:p>
      <w:pPr>
        <w:pStyle w:val="ListNumber"/>
      </w:pPr>
      <w:r>
        <w:t>der Vergabestelle die Zuschlagserteilung auf Grundlage der bisherigen Wertung zu untersagen,</w:t>
      </w:r>
    </w:p>
    <w:p>
      <w:pPr>
        <w:pStyle w:val="ListNumber"/>
      </w:pPr>
      <w:r>
        <w:t>die Servicewertung unter Beachtung des veröffentlichten Bewertungsmaßstabs zu wiederholen,</w:t>
      </w:r>
    </w:p>
    <w:p>
      <w:pPr>
        <w:pStyle w:val="ListNumber"/>
      </w:pPr>
      <w:r>
        <w:t>Einsicht in Wertungsvermerk, Bewertungsbögen, Gleichwertigkeitsprüfung und dokumentierte Kontrollrechnung zu gewähren,</w:t>
      </w:r>
    </w:p>
    <w:p>
      <w:pPr>
        <w:pStyle w:val="ListNumber"/>
      </w:pPr>
      <w:r>
        <w:t>die Kosten des Verfahrens der Antragsgegnerin aufzuerlegen.</w:t>
      </w:r>
    </w:p>
    <w:p>
      <w:pPr>
        <w:pStyle w:val="Heading1"/>
      </w:pPr>
      <w:r>
        <w:t>1. Antragsbefugnis und Fristen</w:t>
      </w:r>
    </w:p>
    <w:p>
      <w:pPr>
        <w:keepNext/>
        <w:keepLines/>
      </w:pPr>
      <w:r>
        <w:t>Die Antragstellerin hat ein vollständiges Angebot abgegeben. Nach der mit der Nichtabhilfe erstmals übermittelten Kontrollrechnung beträgt der Abstand 7,30 Punkte. Eine Zuschlagschance besteht, wenn die Servicezusagen der vorgesehenen Zuschlagsempfängerin nicht in der behaupteten Verbindlichkeit im Angebot enthalten sind oder die Wertungsgruppe unterschiedliche Nachweismaßstäbe verwendet hat. Das §-134-Schreiben ging am 07.07.2026 zu, die Rüge am 09.07.2026 ein und die Nichtabhilfe am 13.07.2026 zu.</w:t>
      </w:r>
    </w:p>
    <w:p>
      <w:pPr>
        <w:pStyle w:val="Heading1"/>
        <w:keepNext/>
        <w:keepLines/>
      </w:pPr>
      <w:r>
        <w:t>2. Konkreter Angriff</w:t>
      </w:r>
    </w:p>
    <w:p>
      <w:pPr>
        <w:keepNext/>
        <w:keepLines/>
      </w:pPr>
      <w:r>
        <w:t>Die Antragstellerin bestreitet nicht, dass schnellere Austauschzeiten besser bewertet werden dürfen. Aktenklärungsbedürftig ist, ob NordDevice eine rechtlich verbindliche Same-Day-Zusage für alle 23 Dienststellen abgegeben hat oder ob eine unverbindliche Zielbeschreibung zur Wertungsgrundlage gemacht wurde. Ferner muss derselbe Belegstandard für Reaktionszeiten, Lagerbestand und Eskalation gelten.</w:t>
      </w:r>
    </w:p>
    <w:p>
      <w:pPr>
        <w:pStyle w:val="Heading1"/>
        <w:keepNext/>
        <w:keepLines/>
      </w:pPr>
      <w:r>
        <w:t>3. Akteneinsichtsziele</w:t>
      </w:r>
    </w:p>
    <w:tbl>
      <w:tblPr>
        <w:tblStyle w:val="TableGrid"/>
        <w:tblW w:type="dxa" w:w="9071"/>
        <w:jc w:val="left"/>
        <w:tblLayout w:type="fixed"/>
        <w:tblLook w:firstColumn="1" w:firstRow="1" w:lastColumn="0" w:lastRow="0" w:noHBand="0" w:noVBand="1" w:val="04A0"/>
      </w:tblPr>
      <w:tblGrid>
        <w:gridCol w:w="2802"/>
        <w:gridCol w:w="2887"/>
        <w:gridCol w:w="3382"/>
      </w:tblGrid>
      <w:tr>
        <w:trPr>
          <w:tblHeader w:val="true"/>
          <w:cantSplit/>
        </w:trPr>
        <w:tc>
          <w:tcPr>
            <w:tcW w:type="dxa" w:w="2802"/>
            <w:vAlign w:val="top"/>
            <w:tcMar>
              <w:top w:w="60" w:type="dxa"/>
              <w:start w:w="90" w:type="dxa"/>
              <w:bottom w:w="60" w:type="dxa"/>
              <w:end w:w="90" w:type="dxa"/>
            </w:tcMar>
            <w:shd w:fill="01696F"/>
          </w:tcPr>
          <w:p>
            <w:pPr>
              <w:keepLines/>
              <w:spacing w:after="0"/>
            </w:pPr>
            <w:r/>
            <w:r>
              <w:rPr>
                <w:rFonts w:ascii="Times New Roman" w:hAnsi="Times New Roman"/>
                <w:b/>
                <w:color w:val="FFFFFF"/>
                <w:sz w:val="17"/>
              </w:rPr>
              <w:t>Aktenteil</w:t>
            </w:r>
          </w:p>
        </w:tc>
        <w:tc>
          <w:tcPr>
            <w:tcW w:type="dxa" w:w="2887"/>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Erkenntnisziel</w:t>
            </w:r>
          </w:p>
        </w:tc>
        <w:tc>
          <w:tcPr>
            <w:tcW w:type="dxa" w:w="3382"/>
            <w:vAlign w:val="top"/>
            <w:tcMar>
              <w:top w:w="60" w:type="dxa"/>
              <w:start w:w="90" w:type="dxa"/>
              <w:bottom w:w="60" w:type="dxa"/>
              <w:end w:w="90" w:type="dxa"/>
            </w:tcMar>
            <w:shd w:fill="01696F"/>
          </w:tcPr>
          <w:p>
            <w:pPr>
              <w:keepLines/>
              <w:spacing w:after="0"/>
            </w:pPr>
            <w:r/>
            <w:r>
              <w:rPr>
                <w:rFonts w:ascii="Times New Roman" w:hAnsi="Times New Roman"/>
                <w:b/>
                <w:color w:val="FFFFFF"/>
                <w:sz w:val="17"/>
              </w:rPr>
              <w:t>Schutzvorschlag</w:t>
            </w:r>
          </w:p>
        </w:tc>
      </w:tr>
      <w:tr>
        <w:trPr>
          <w:cantSplit/>
        </w:trPr>
        <w:tc>
          <w:tcPr>
            <w:tcW w:type="dxa" w:w="2802"/>
            <w:vAlign w:val="top"/>
            <w:tcMar>
              <w:top w:w="60" w:type="dxa"/>
              <w:start w:w="90" w:type="dxa"/>
              <w:bottom w:w="60" w:type="dxa"/>
              <w:end w:w="90" w:type="dxa"/>
            </w:tcMar>
          </w:tcPr>
          <w:p>
            <w:pPr>
              <w:keepLines/>
              <w:spacing w:after="0"/>
            </w:pPr>
            <w:r/>
            <w:r>
              <w:rPr>
                <w:rFonts w:ascii="Times New Roman" w:hAnsi="Times New Roman"/>
                <w:sz w:val="17"/>
              </w:rPr>
              <w:t>Bewertungsbogen Service</w:t>
            </w:r>
          </w:p>
        </w:tc>
        <w:tc>
          <w:tcPr>
            <w:tcW w:type="dxa" w:w="2887"/>
            <w:vAlign w:val="top"/>
            <w:tcMar>
              <w:top w:w="60" w:type="dxa"/>
              <w:start w:w="90" w:type="dxa"/>
              <w:bottom w:w="60" w:type="dxa"/>
              <w:end w:w="90" w:type="dxa"/>
            </w:tcMar>
          </w:tcPr>
          <w:p>
            <w:pPr>
              <w:keepLines/>
              <w:spacing w:after="0"/>
            </w:pPr>
            <w:r/>
            <w:r>
              <w:rPr>
                <w:rFonts w:ascii="Times New Roman" w:hAnsi="Times New Roman"/>
                <w:sz w:val="17"/>
              </w:rPr>
              <w:t>Kriterienanwendung und Einzelpunkte</w:t>
            </w:r>
          </w:p>
        </w:tc>
        <w:tc>
          <w:tcPr>
            <w:tcW w:type="dxa" w:w="3382"/>
            <w:vAlign w:val="top"/>
            <w:tcMar>
              <w:top w:w="60" w:type="dxa"/>
              <w:start w:w="90" w:type="dxa"/>
              <w:bottom w:w="60" w:type="dxa"/>
              <w:end w:w="90" w:type="dxa"/>
            </w:tcMar>
          </w:tcPr>
          <w:p>
            <w:pPr>
              <w:keepLines/>
              <w:spacing w:after="0"/>
            </w:pPr>
            <w:r/>
            <w:r>
              <w:rPr>
                <w:rFonts w:ascii="Times New Roman" w:hAnsi="Times New Roman"/>
                <w:sz w:val="17"/>
              </w:rPr>
              <w:t>Namen technischer Mitarbeiter schwärzen</w:t>
            </w:r>
          </w:p>
        </w:tc>
      </w:tr>
      <w:tr>
        <w:trPr>
          <w:cantSplit/>
        </w:trPr>
        <w:tc>
          <w:tcPr>
            <w:tcW w:type="dxa" w:w="2802"/>
            <w:vAlign w:val="top"/>
            <w:tcMar>
              <w:top w:w="60" w:type="dxa"/>
              <w:start w:w="90" w:type="dxa"/>
              <w:bottom w:w="60" w:type="dxa"/>
              <w:end w:w="90" w:type="dxa"/>
            </w:tcMar>
            <w:shd w:fill="F1F3F3"/>
          </w:tcPr>
          <w:p>
            <w:pPr>
              <w:keepLines/>
              <w:spacing w:after="0"/>
            </w:pPr>
            <w:r/>
            <w:r>
              <w:rPr>
                <w:rFonts w:ascii="Times New Roman" w:hAnsi="Times New Roman"/>
                <w:sz w:val="17"/>
              </w:rPr>
              <w:t>Angebotsauszug NordDevice</w:t>
            </w:r>
          </w:p>
        </w:tc>
        <w:tc>
          <w:tcPr>
            <w:tcW w:type="dxa" w:w="2887"/>
            <w:vAlign w:val="top"/>
            <w:tcMar>
              <w:top w:w="60" w:type="dxa"/>
              <w:start w:w="90" w:type="dxa"/>
              <w:bottom w:w="60" w:type="dxa"/>
              <w:end w:w="90" w:type="dxa"/>
            </w:tcMar>
            <w:shd w:fill="F1F3F3"/>
          </w:tcPr>
          <w:p>
            <w:pPr>
              <w:keepLines/>
              <w:spacing w:after="0"/>
            </w:pPr>
            <w:r/>
            <w:r>
              <w:rPr>
                <w:rFonts w:ascii="Times New Roman" w:hAnsi="Times New Roman"/>
                <w:sz w:val="17"/>
              </w:rPr>
              <w:t>Verbindlichkeit der Austauschzeit</w:t>
            </w:r>
          </w:p>
        </w:tc>
        <w:tc>
          <w:tcPr>
            <w:tcW w:type="dxa" w:w="3382"/>
            <w:vAlign w:val="top"/>
            <w:tcMar>
              <w:top w:w="60" w:type="dxa"/>
              <w:start w:w="90" w:type="dxa"/>
              <w:bottom w:w="60" w:type="dxa"/>
              <w:end w:w="90" w:type="dxa"/>
            </w:tcMar>
            <w:shd w:fill="F1F3F3"/>
          </w:tcPr>
          <w:p>
            <w:pPr>
              <w:keepLines/>
              <w:spacing w:after="0"/>
            </w:pPr>
            <w:r/>
            <w:r>
              <w:rPr>
                <w:rFonts w:ascii="Times New Roman" w:hAnsi="Times New Roman"/>
                <w:sz w:val="17"/>
              </w:rPr>
              <w:t>Preise und nicht betroffene Leistungsdetails schwärzen</w:t>
            </w:r>
          </w:p>
        </w:tc>
      </w:tr>
      <w:tr>
        <w:trPr>
          <w:cantSplit/>
        </w:trPr>
        <w:tc>
          <w:tcPr>
            <w:tcW w:type="dxa" w:w="2802"/>
            <w:vAlign w:val="top"/>
            <w:tcMar>
              <w:top w:w="60" w:type="dxa"/>
              <w:start w:w="90" w:type="dxa"/>
              <w:bottom w:w="60" w:type="dxa"/>
              <w:end w:w="90" w:type="dxa"/>
            </w:tcMar>
          </w:tcPr>
          <w:p>
            <w:pPr>
              <w:keepLines/>
              <w:spacing w:after="0"/>
            </w:pPr>
            <w:r/>
            <w:r>
              <w:rPr>
                <w:rFonts w:ascii="Times New Roman" w:hAnsi="Times New Roman"/>
                <w:sz w:val="17"/>
              </w:rPr>
              <w:t>Gleichwertigkeitsvermerk</w:t>
            </w:r>
          </w:p>
        </w:tc>
        <w:tc>
          <w:tcPr>
            <w:tcW w:type="dxa" w:w="2887"/>
            <w:vAlign w:val="top"/>
            <w:tcMar>
              <w:top w:w="60" w:type="dxa"/>
              <w:start w:w="90" w:type="dxa"/>
              <w:bottom w:w="60" w:type="dxa"/>
              <w:end w:w="90" w:type="dxa"/>
            </w:tcMar>
          </w:tcPr>
          <w:p>
            <w:pPr>
              <w:keepLines/>
              <w:spacing w:after="0"/>
            </w:pPr>
            <w:r/>
            <w:r>
              <w:rPr>
                <w:rFonts w:ascii="Times New Roman" w:hAnsi="Times New Roman"/>
                <w:sz w:val="17"/>
              </w:rPr>
              <w:t>produktneutrale Prüfung</w:t>
            </w:r>
          </w:p>
        </w:tc>
        <w:tc>
          <w:tcPr>
            <w:tcW w:type="dxa" w:w="3382"/>
            <w:vAlign w:val="top"/>
            <w:tcMar>
              <w:top w:w="60" w:type="dxa"/>
              <w:start w:w="90" w:type="dxa"/>
              <w:bottom w:w="60" w:type="dxa"/>
              <w:end w:w="90" w:type="dxa"/>
            </w:tcMar>
          </w:tcPr>
          <w:p>
            <w:pPr>
              <w:keepLines/>
              <w:spacing w:after="0"/>
            </w:pPr>
            <w:r/>
            <w:r>
              <w:rPr>
                <w:rFonts w:ascii="Times New Roman" w:hAnsi="Times New Roman"/>
                <w:sz w:val="17"/>
              </w:rPr>
              <w:t>Herstellerpreise schwärzen</w:t>
            </w:r>
          </w:p>
        </w:tc>
      </w:tr>
      <w:tr>
        <w:trPr>
          <w:cantSplit/>
        </w:trPr>
        <w:tc>
          <w:tcPr>
            <w:tcW w:type="dxa" w:w="2802"/>
            <w:vAlign w:val="top"/>
            <w:tcMar>
              <w:top w:w="60" w:type="dxa"/>
              <w:start w:w="90" w:type="dxa"/>
              <w:bottom w:w="60" w:type="dxa"/>
              <w:end w:w="90" w:type="dxa"/>
            </w:tcMar>
            <w:shd w:fill="F1F3F3"/>
          </w:tcPr>
          <w:p>
            <w:pPr>
              <w:keepLines/>
              <w:spacing w:after="0"/>
            </w:pPr>
            <w:r/>
            <w:r>
              <w:rPr>
                <w:rFonts w:ascii="Times New Roman" w:hAnsi="Times New Roman"/>
                <w:sz w:val="17"/>
              </w:rPr>
              <w:t>Versionshistorie</w:t>
            </w:r>
          </w:p>
        </w:tc>
        <w:tc>
          <w:tcPr>
            <w:tcW w:type="dxa" w:w="2887"/>
            <w:vAlign w:val="top"/>
            <w:tcMar>
              <w:top w:w="60" w:type="dxa"/>
              <w:start w:w="90" w:type="dxa"/>
              <w:bottom w:w="60" w:type="dxa"/>
              <w:end w:w="90" w:type="dxa"/>
            </w:tcMar>
            <w:shd w:fill="F1F3F3"/>
          </w:tcPr>
          <w:p>
            <w:pPr>
              <w:keepLines/>
              <w:spacing w:after="0"/>
            </w:pPr>
            <w:r/>
            <w:r>
              <w:rPr>
                <w:rFonts w:ascii="Times New Roman" w:hAnsi="Times New Roman"/>
                <w:sz w:val="17"/>
              </w:rPr>
              <w:t>Zeitpunkt der Berichtigung</w:t>
            </w:r>
          </w:p>
        </w:tc>
        <w:tc>
          <w:tcPr>
            <w:tcW w:type="dxa" w:w="3382"/>
            <w:vAlign w:val="top"/>
            <w:tcMar>
              <w:top w:w="60" w:type="dxa"/>
              <w:start w:w="90" w:type="dxa"/>
              <w:bottom w:w="60" w:type="dxa"/>
              <w:end w:w="90" w:type="dxa"/>
            </w:tcMar>
            <w:shd w:fill="F1F3F3"/>
          </w:tcPr>
          <w:p>
            <w:pPr>
              <w:keepLines/>
              <w:spacing w:after="0"/>
            </w:pPr>
            <w:r/>
            <w:r>
              <w:rPr>
                <w:rFonts w:ascii="Times New Roman" w:hAnsi="Times New Roman"/>
                <w:sz w:val="17"/>
              </w:rPr>
              <w:t>reine Systemmetadaten offenlegen</w:t>
            </w:r>
          </w:p>
        </w:tc>
      </w:tr>
    </w:tbl>
    <w:p>
      <w:pPr>
        <w:spacing w:after="0" w:before="40"/>
      </w:pPr>
    </w:p>
    <w:p>
      <w:pPr>
        <w:keepLines/>
      </w:pPr>
      <w:r>
        <w:t>Die Antragstellerin stützt den Antrag auf konkrete Fundstellen und verlangt keine allgemeine Ausforschung des Konkurrenzangebots.</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RAD-88/26 / LAD-IT-2026-044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Kanzlei Dr. Rademacher Vergaberecht</w:t>
      <w:t xml:space="preserve">  |  RAD-88/26 / LAD-IT-2026-044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Nachprüfungsantrag TechLine Systeme GmbH</dc:title>
  <dc:subject>Nachprüfungsantrag | Az. RAD-88/26 / LAD-IT-2026-044</dc:subject>
  <dc:creator>Kanzlei Dr. Rademacher Vergaberecht</dc:creator>
  <cp:keywords>Vergaberecht, RAD-88/26 / LAD-IT-2026-044, Nachprüfungsantrag</cp:keywords>
  <dc:description>generated by python-docx</dc:description>
  <cp:lastModifiedBy>Kanzlei Dr. Rademacher Vergaberecht</cp:lastModifiedBy>
  <cp:revision>1</cp:revision>
  <dcterms:created xsi:type="dcterms:W3CDTF">2000-01-01T00:00:00Z</dcterms:created>
  <dcterms:modified xsi:type="dcterms:W3CDTF">2000-01-01T00:00:00Z</dcterms:modified>
  <cp:category>Vergabeakte</cp:category>
</cp:coreProperties>
</file>