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Vergabekammer des Landes Musterland</w:t>
            </w:r>
          </w:p>
          <w:p>
            <w:pPr>
              <w:spacing w:after="0"/>
            </w:pPr>
            <w:r>
              <w:rPr>
                <w:color w:val="646464"/>
                <w:sz w:val="18"/>
              </w:rPr>
              <w:t>Musterallee 10, 99000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31.07.2026</w:t>
              <w:br/>
            </w:r>
            <w:r>
              <w:rPr>
                <w:rFonts w:ascii="Times New Roman" w:hAnsi="Times New Roman"/>
                <w:color w:val="646464"/>
                <w:sz w:val="18"/>
              </w:rPr>
              <w:t>Aktenzeichen: VK ML 8-22/26</w:t>
              <w:br/>
            </w:r>
            <w:r>
              <w:rPr>
                <w:rFonts w:ascii="Times New Roman" w:hAnsi="Times New Roman"/>
                <w:color w:val="646464"/>
                <w:sz w:val="18"/>
              </w:rPr>
              <w:t>Kostenbeschluss nach Erledigung</w:t>
            </w:r>
          </w:p>
        </w:tc>
      </w:tr>
    </w:tbl>
    <w:p>
      <w:pPr>
        <w:spacing w:before="200" w:after="40"/>
      </w:pPr>
      <w:r>
        <w:rPr>
          <w:rFonts w:ascii="Times New Roman" w:hAnsi="Times New Roman"/>
          <w:color w:val="646464"/>
          <w:sz w:val="15"/>
        </w:rPr>
        <w:t>Vergabekammer des Landes Musterland · Musterallee 10, 99000 Musterstadt</w:t>
      </w:r>
    </w:p>
    <w:p>
      <w:pPr>
        <w:spacing w:after="240"/>
      </w:pPr>
      <w:r>
        <w:t>TechLine Systeme GmbH, Landesamt für Digitalisierung Musterland und NordDevice GmbH</w:t>
      </w:r>
    </w:p>
    <w:p>
      <w:pPr>
        <w:pStyle w:val="Title"/>
      </w:pPr>
      <w:r>
        <w:t>Kostenentscheidung nach übereinstimmender Erledigung</w:t>
      </w:r>
    </w:p>
    <w:p>
      <w:pPr>
        <w:pStyle w:val="Heading1"/>
      </w:pPr>
      <w:r>
        <w:t>Tenor</w:t>
      </w:r>
    </w:p>
    <w:p>
      <w:pPr>
        <w:pStyle w:val="ListNumber"/>
      </w:pPr>
      <w:r>
        <w:t>Das Nachprüfungsverfahren wird eingestellt, nachdem die Beteiligten es übereinstimmend in der Hauptsache für erledigt erklärt haben.</w:t>
      </w:r>
    </w:p>
    <w:p>
      <w:pPr>
        <w:pStyle w:val="ListNumber"/>
      </w:pPr>
      <w:r>
        <w:t>Die Antragsgegnerin trägt vier Fünftel der Kosten des Verfahrens und vier Fünftel der zur zweckentsprechenden Rechtsverfolgung notwendigen Aufwendungen der Antragstellerin.</w:t>
      </w:r>
    </w:p>
    <w:p>
      <w:pPr>
        <w:pStyle w:val="ListNumber"/>
      </w:pPr>
      <w:r>
        <w:t>Die Antragstellerin trägt ein Fünftel der Kosten. Die Beigeladene trägt ihre außergerichtlichen Aufwendungen selbst.</w:t>
      </w:r>
    </w:p>
    <w:p>
      <w:pPr>
        <w:pStyle w:val="ListNumber"/>
      </w:pPr>
      <w:r>
        <w:t>Die Hinzuziehung anwaltlicher Bevollmächtigter durch die Antragstellerin war notwendig.</w:t>
      </w:r>
    </w:p>
    <w:p>
      <w:pPr>
        <w:pStyle w:val="Heading1"/>
        <w:keepNext/>
        <w:keepLines/>
      </w:pPr>
      <w:r>
        <w:t>Gründe</w:t>
      </w:r>
    </w:p>
    <w:p>
      <w:pPr>
        <w:keepNext/>
        <w:keepLines/>
      </w:pPr>
      <w:r>
        <w:t>Die Antragsgegnerin hat nach Aktenvorlage erkannt, dass die ursprüngliche Wertung eine für Teile des Liefergebiets unverbindliche Austauschzusage wie eine flächendeckende Garantie behandelt hatte. Sie hob die Zuschlagsentscheidung auf, wertete die unveränderten Angebote neu und versandte am 23.07.2026 ein neues Informationsschreiben.</w:t>
      </w:r>
    </w:p>
    <w:p>
      <w:pPr>
        <w:keepNext/>
        <w:keepLines/>
      </w:pPr>
      <w:r>
        <w:t>Damit war das ursprüngliche Rechtsschutzziel der Antragstellerin erreicht. Der verbleibende Antrag auf unmittelbare Zuschlagserteilung wäre unbegründet gewesen, weil die Vergabekammer die Zuschlagsentscheidung nicht anstelle des Auftraggebers trifft. Diese Teilposition rechtfertigt die Kostenquote zulasten der Antragstellerin.</w:t>
      </w:r>
    </w:p>
    <w:p>
      <w:pPr>
        <w:pStyle w:val="Heading1"/>
        <w:keepNext/>
        <w:keepLines/>
      </w:pPr>
      <w:r>
        <w:t>Aktenabschluss</w:t>
      </w:r>
    </w:p>
    <w:tbl>
      <w:tblPr>
        <w:tblStyle w:val="TableGrid"/>
        <w:tblW w:type="dxa" w:w="9071"/>
        <w:jc w:val="left"/>
        <w:tblLayout w:type="fixed"/>
        <w:tblLook w:firstColumn="1" w:firstRow="1" w:lastColumn="0" w:lastRow="0" w:noHBand="0" w:noVBand="1" w:val="04A0"/>
      </w:tblPr>
      <w:tblGrid>
        <w:gridCol w:w="3700"/>
        <w:gridCol w:w="5371"/>
      </w:tblGrid>
      <w:tr>
        <w:trPr>
          <w:tblHeader w:val="true"/>
          <w:cantSplit/>
        </w:trPr>
        <w:tc>
          <w:tcPr>
            <w:tcW w:type="dxa" w:w="3700"/>
            <w:vAlign w:val="top"/>
            <w:tcMar>
              <w:top w:w="60" w:type="dxa"/>
              <w:start w:w="90" w:type="dxa"/>
              <w:bottom w:w="60" w:type="dxa"/>
              <w:end w:w="90" w:type="dxa"/>
            </w:tcMar>
            <w:shd w:fill="01696F"/>
          </w:tcPr>
          <w:p>
            <w:pPr>
              <w:keepLines/>
              <w:spacing w:after="0"/>
            </w:pPr>
            <w:r/>
            <w:r>
              <w:rPr>
                <w:rFonts w:ascii="Times New Roman" w:hAnsi="Times New Roman"/>
                <w:b/>
                <w:color w:val="FFFFFF"/>
                <w:sz w:val="17"/>
              </w:rPr>
              <w:t>Abschlussprüfung</w:t>
            </w:r>
          </w:p>
        </w:tc>
        <w:tc>
          <w:tcPr>
            <w:tcW w:type="dxa" w:w="5371"/>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Befund</w:t>
            </w:r>
          </w:p>
        </w:tc>
      </w:tr>
      <w:tr>
        <w:trPr>
          <w:cantSplit/>
        </w:trPr>
        <w:tc>
          <w:tcPr>
            <w:tcW w:type="dxa" w:w="3700"/>
            <w:vAlign w:val="top"/>
            <w:tcMar>
              <w:top w:w="60" w:type="dxa"/>
              <w:start w:w="90" w:type="dxa"/>
              <w:bottom w:w="60" w:type="dxa"/>
              <w:end w:w="90" w:type="dxa"/>
            </w:tcMar>
          </w:tcPr>
          <w:p>
            <w:pPr>
              <w:keepLines/>
              <w:spacing w:after="0"/>
            </w:pPr>
            <w:r/>
            <w:r>
              <w:rPr>
                <w:rFonts w:ascii="Times New Roman" w:hAnsi="Times New Roman"/>
                <w:sz w:val="17"/>
              </w:rPr>
              <w:t>alte Zuschlagsentscheidung</w:t>
            </w:r>
          </w:p>
        </w:tc>
        <w:tc>
          <w:tcPr>
            <w:tcW w:type="dxa" w:w="5371"/>
            <w:vAlign w:val="top"/>
            <w:tcMar>
              <w:top w:w="60" w:type="dxa"/>
              <w:start w:w="90" w:type="dxa"/>
              <w:bottom w:w="60" w:type="dxa"/>
              <w:end w:w="90" w:type="dxa"/>
            </w:tcMar>
          </w:tcPr>
          <w:p>
            <w:pPr>
              <w:keepLines/>
              <w:spacing w:after="0"/>
            </w:pPr>
            <w:r/>
            <w:r>
              <w:rPr>
                <w:rFonts w:ascii="Times New Roman" w:hAnsi="Times New Roman"/>
                <w:sz w:val="17"/>
              </w:rPr>
              <w:t>aufgehoben und im System gesperrt</w:t>
            </w:r>
          </w:p>
        </w:tc>
      </w:tr>
      <w:tr>
        <w:trPr>
          <w:cantSplit/>
        </w:trPr>
        <w:tc>
          <w:tcPr>
            <w:tcW w:type="dxa" w:w="3700"/>
            <w:vAlign w:val="top"/>
            <w:tcMar>
              <w:top w:w="60" w:type="dxa"/>
              <w:start w:w="90" w:type="dxa"/>
              <w:bottom w:w="60" w:type="dxa"/>
              <w:end w:w="90" w:type="dxa"/>
            </w:tcMar>
            <w:shd w:fill="F1F3F3"/>
          </w:tcPr>
          <w:p>
            <w:pPr>
              <w:keepLines/>
              <w:spacing w:after="0"/>
            </w:pPr>
            <w:r/>
            <w:r>
              <w:rPr>
                <w:rFonts w:ascii="Times New Roman" w:hAnsi="Times New Roman"/>
                <w:sz w:val="17"/>
              </w:rPr>
              <w:t>neue Wertung</w:t>
            </w:r>
          </w:p>
        </w:tc>
        <w:tc>
          <w:tcPr>
            <w:tcW w:type="dxa" w:w="5371"/>
            <w:vAlign w:val="top"/>
            <w:tcMar>
              <w:top w:w="60" w:type="dxa"/>
              <w:start w:w="90" w:type="dxa"/>
              <w:bottom w:w="60" w:type="dxa"/>
              <w:end w:w="90" w:type="dxa"/>
            </w:tcMar>
            <w:shd w:fill="F1F3F3"/>
          </w:tcPr>
          <w:p>
            <w:pPr>
              <w:keepLines/>
              <w:spacing w:after="0"/>
            </w:pPr>
            <w:r/>
            <w:r>
              <w:rPr>
                <w:rFonts w:ascii="Times New Roman" w:hAnsi="Times New Roman"/>
                <w:sz w:val="17"/>
              </w:rPr>
              <w:t>unveränderte Angebote, neuer dokumentierter Maßstabsvollzug</w:t>
            </w:r>
          </w:p>
        </w:tc>
      </w:tr>
      <w:tr>
        <w:trPr>
          <w:cantSplit/>
        </w:trPr>
        <w:tc>
          <w:tcPr>
            <w:tcW w:type="dxa" w:w="3700"/>
            <w:vAlign w:val="top"/>
            <w:tcMar>
              <w:top w:w="60" w:type="dxa"/>
              <w:start w:w="90" w:type="dxa"/>
              <w:bottom w:w="60" w:type="dxa"/>
              <w:end w:w="90" w:type="dxa"/>
            </w:tcMar>
          </w:tcPr>
          <w:p>
            <w:pPr>
              <w:keepLines/>
              <w:spacing w:after="0"/>
            </w:pPr>
            <w:r/>
            <w:r>
              <w:rPr>
                <w:rFonts w:ascii="Times New Roman" w:hAnsi="Times New Roman"/>
                <w:sz w:val="17"/>
              </w:rPr>
              <w:t>neues §-134-Schreiben</w:t>
            </w:r>
          </w:p>
        </w:tc>
        <w:tc>
          <w:tcPr>
            <w:tcW w:type="dxa" w:w="5371"/>
            <w:vAlign w:val="top"/>
            <w:tcMar>
              <w:top w:w="60" w:type="dxa"/>
              <w:start w:w="90" w:type="dxa"/>
              <w:bottom w:w="60" w:type="dxa"/>
              <w:end w:w="90" w:type="dxa"/>
            </w:tcMar>
          </w:tcPr>
          <w:p>
            <w:pPr>
              <w:keepLines/>
              <w:spacing w:after="0"/>
            </w:pPr>
            <w:r/>
            <w:r>
              <w:rPr>
                <w:rFonts w:ascii="Times New Roman" w:hAnsi="Times New Roman"/>
                <w:sz w:val="17"/>
              </w:rPr>
              <w:t>Versandprotokoll vom 23.07.2026 vorgelegt</w:t>
            </w:r>
          </w:p>
        </w:tc>
      </w:tr>
      <w:tr>
        <w:trPr>
          <w:cantSplit/>
        </w:trPr>
        <w:tc>
          <w:tcPr>
            <w:tcW w:type="dxa" w:w="3700"/>
            <w:vAlign w:val="top"/>
            <w:tcMar>
              <w:top w:w="60" w:type="dxa"/>
              <w:start w:w="90" w:type="dxa"/>
              <w:bottom w:w="60" w:type="dxa"/>
              <w:end w:w="90" w:type="dxa"/>
            </w:tcMar>
            <w:shd w:fill="F1F3F3"/>
          </w:tcPr>
          <w:p>
            <w:pPr>
              <w:keepLines/>
              <w:spacing w:after="0"/>
            </w:pPr>
            <w:r/>
            <w:r>
              <w:rPr>
                <w:rFonts w:ascii="Times New Roman" w:hAnsi="Times New Roman"/>
                <w:sz w:val="17"/>
              </w:rPr>
              <w:t>Schutz von Angebotsinhalten</w:t>
            </w:r>
          </w:p>
        </w:tc>
        <w:tc>
          <w:tcPr>
            <w:tcW w:type="dxa" w:w="5371"/>
            <w:vAlign w:val="top"/>
            <w:tcMar>
              <w:top w:w="60" w:type="dxa"/>
              <w:start w:w="90" w:type="dxa"/>
              <w:bottom w:w="60" w:type="dxa"/>
              <w:end w:w="90" w:type="dxa"/>
            </w:tcMar>
            <w:shd w:fill="F1F3F3"/>
          </w:tcPr>
          <w:p>
            <w:pPr>
              <w:keepLines/>
              <w:spacing w:after="0"/>
            </w:pPr>
            <w:r/>
            <w:r>
              <w:rPr>
                <w:rFonts w:ascii="Times New Roman" w:hAnsi="Times New Roman"/>
                <w:sz w:val="17"/>
              </w:rPr>
              <w:t>Beteiligtenfassungen mit punktuellen Schwärzungen</w:t>
            </w:r>
          </w:p>
        </w:tc>
      </w:tr>
      <w:tr>
        <w:trPr>
          <w:cantSplit/>
        </w:trPr>
        <w:tc>
          <w:tcPr>
            <w:tcW w:type="dxa" w:w="3700"/>
            <w:vAlign w:val="top"/>
            <w:tcMar>
              <w:top w:w="60" w:type="dxa"/>
              <w:start w:w="90" w:type="dxa"/>
              <w:bottom w:w="60" w:type="dxa"/>
              <w:end w:w="90" w:type="dxa"/>
            </w:tcMar>
          </w:tcPr>
          <w:p>
            <w:pPr>
              <w:keepLines/>
              <w:spacing w:after="0"/>
            </w:pPr>
            <w:r/>
            <w:r>
              <w:rPr>
                <w:rFonts w:ascii="Times New Roman" w:hAnsi="Times New Roman"/>
                <w:sz w:val="17"/>
              </w:rPr>
              <w:t>weitere Anträge</w:t>
            </w:r>
          </w:p>
        </w:tc>
        <w:tc>
          <w:tcPr>
            <w:tcW w:type="dxa" w:w="5371"/>
            <w:vAlign w:val="top"/>
            <w:tcMar>
              <w:top w:w="60" w:type="dxa"/>
              <w:start w:w="90" w:type="dxa"/>
              <w:bottom w:w="60" w:type="dxa"/>
              <w:end w:w="90" w:type="dxa"/>
            </w:tcMar>
          </w:tcPr>
          <w:p>
            <w:pPr>
              <w:keepLines/>
              <w:spacing w:after="0"/>
            </w:pPr>
            <w:r/>
            <w:r>
              <w:rPr>
                <w:rFonts w:ascii="Times New Roman" w:hAnsi="Times New Roman"/>
                <w:sz w:val="17"/>
              </w:rPr>
              <w:t>keine</w:t>
            </w:r>
          </w:p>
        </w:tc>
      </w:tr>
    </w:tbl>
    <w:p>
      <w:pPr>
        <w:spacing w:after="0" w:before="40"/>
      </w:pPr>
    </w:p>
    <w:p>
      <w:pPr>
        <w:keepNext/>
        <w:keepLines/>
      </w:pPr>
      <w:r>
        <w:t>Die konkrete Gebührenhöhe wird gesondert nach § 182 GWB festgesetzt.</w:t>
      </w:r>
    </w:p>
    <w:p>
      <w:pPr>
        <w:keepLines/>
      </w:pPr>
      <w:r>
        <w:t>Vergabekammer des Landes Musterland</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VK ML 8-22/26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Vergabekammer des Landes Musterland</w:t>
      <w:t xml:space="preserve">  |  VK ML 8-22/26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Kostenentscheidung nach übereinstimmender Erledigung</dc:title>
  <dc:subject>Kostenbeschluss nach Erledigung | Az. VK ML 8-22/26</dc:subject>
  <dc:creator>Vergabekammer des Landes Musterland</dc:creator>
  <cp:keywords>Vergaberecht, VK ML 8-22/26, Kostenbeschluss nach Erledigung</cp:keywords>
  <dc:description>generated by python-docx</dc:description>
  <cp:lastModifiedBy>Vergabekammer des Landes Musterland</cp:lastModifiedBy>
  <cp:revision>1</cp:revision>
  <dcterms:created xsi:type="dcterms:W3CDTF">2000-01-01T00:00:00Z</dcterms:created>
  <dcterms:modified xsi:type="dcterms:W3CDTF">2000-01-01T00:00:00Z</dcterms:modified>
  <cp:category>Vergabeakte</cp:category>
</cp:coreProperties>
</file>