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Hochbau Mustermann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Industriestraße 50, 88800 Musterhausen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03.07.2026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HM-2026-BAU-018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Nachprüfungsantrag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Hochbau Mustermann GmbH · Industriestraße 50, 88800 Musterhausen</w:t>
      </w:r>
    </w:p>
    <w:p>
      <w:pPr>
        <w:spacing w:after="240"/>
      </w:pPr>
      <w:r>
        <w:t>Vergabekammer des Landes Musterland</w:t>
      </w:r>
    </w:p>
    <w:p>
      <w:pPr>
        <w:pStyle w:val="Title"/>
      </w:pPr>
      <w:r>
        <w:t>Nachprüfungsantrag Sanierung Stadthalle Musterstadt</w:t>
      </w:r>
    </w:p>
    <w:p>
      <w:pPr>
        <w:pStyle w:val="Heading1"/>
      </w:pPr>
      <w:r>
        <w:t>Anträge</w:t>
      </w:r>
    </w:p>
    <w:p>
      <w:pPr>
        <w:pStyle w:val="ListNumber"/>
      </w:pPr>
      <w:r>
        <w:t>Der Antragsgegnerin wird untersagt, den Zuschlag auf Grundlage der unveränderten Vergabeunterlagen zu erteilen.</w:t>
      </w:r>
    </w:p>
    <w:p>
      <w:pPr>
        <w:pStyle w:val="ListNumber"/>
      </w:pPr>
      <w:r>
        <w:t>Die Antragsgegnerin wird verpflichtet, das Leistungsverzeichnis produktneutral zu fassen oder die Produktvorgabe nachvollziehbar zu begründen.</w:t>
      </w:r>
    </w:p>
    <w:p>
      <w:pPr>
        <w:pStyle w:val="ListNumber"/>
        <w:keepNext/>
        <w:keepLines/>
      </w:pPr>
      <w:r>
        <w:t>Die Angebotsfrist ist nach Korrektur angemessen zu verlängern.</w:t>
      </w:r>
    </w:p>
    <w:p>
      <w:pPr>
        <w:pStyle w:val="Heading1"/>
        <w:keepNext/>
        <w:keepLines/>
      </w:pPr>
      <w:r>
        <w:t>Zulässigkeit</w:t>
      </w:r>
    </w:p>
    <w:p>
      <w:pPr>
        <w:keepNext/>
        <w:keepLines/>
      </w:pPr>
      <w:r>
        <w:t>Die Antragstellerin ist interessierte Bieterin und durch die Produktvorgabe in ihren Zuschlagschancen beeinträchtigt. Die Rüge vom 20.06.2026 war rechtzeitig. Die Nichtabhilfe datiert vom 25.06.2026; die Frist des § 160 Abs. 3 Satz 1 Nr. 4 GWB ist gewahrt.</w:t>
      </w:r>
    </w:p>
    <w:p>
      <w:pPr>
        <w:pStyle w:val="Heading1"/>
        <w:keepNext/>
        <w:keepLines/>
      </w:pPr>
      <w:r>
        <w:t>Begründetheit</w:t>
      </w:r>
    </w:p>
    <w:p>
      <w:pPr>
        <w:keepNext/>
        <w:keepLines/>
      </w:pPr>
      <w:r>
        <w:t>Der Markenbezug ohne Gleichwertigkeitsöffnung beschränkt den Wettbewerb. Die Vergabestelle hat keine tragfähige technische Alleinstellung dokumentiert. Die pauschale Berufung auf Anschlussdetails ersetzt keine vergaberechtskonforme Prüfung.</w:t>
      </w:r>
    </w:p>
    <w:p>
      <w:pPr>
        <w:pStyle w:val="Heading1"/>
        <w:keepNext/>
        <w:keepLines/>
      </w:pPr>
      <w:r>
        <w:t>Eilbedürftigkeit</w:t>
      </w:r>
    </w:p>
    <w:p>
      <w:pPr>
        <w:keepLines/>
      </w:pPr>
      <w:r>
        <w:t>Ohne Zuschlagssperre droht der Zuschlag trotz rechtswidriger Unterlagen. Die Antragstellerin kann ein wertbares Angebot nur abgeben, wenn gleichwertige Dachfenster zugelassen oder die Produktvorgabe rechtmäßig begründet wird.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HM-2026-BAU-018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Hochbau Mustermann GmbH</w:t>
      <w:t xml:space="preserve">  |  HM-2026-BAU-018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Nachprüfungsantrag Sanierung Stadthalle Musterstadt</dc:title>
  <dc:subject>Nachprüfungsantrag | Az. HM-2026-BAU-018</dc:subject>
  <dc:creator>Hochbau Mustermann GmbH</dc:creator>
  <cp:keywords>Vergaberecht, HM-2026-BAU-018, Nachprüfungsantrag</cp:keywords>
  <dc:description>generated by python-docx</dc:description>
  <cp:lastModifiedBy>Hochbau Mustermann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