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Zentrale Vergabestelle</w:t>
            </w:r>
          </w:p>
          <w:p>
            <w:pPr>
              <w:spacing w:after="0"/>
            </w:pPr>
            <w:r>
              <w:rPr>
                <w:color w:val="646464"/>
                <w:sz w:val="18"/>
              </w:rPr>
              <w:t>Bauhofstraße 4,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23.07.2026</w:t>
              <w:br/>
            </w:r>
            <w:r>
              <w:rPr>
                <w:rFonts w:ascii="Times New Roman" w:hAnsi="Times New Roman"/>
                <w:color w:val="646464"/>
                <w:sz w:val="18"/>
              </w:rPr>
              <w:t>Aktenzeichen: HB-STH-2026-019</w:t>
              <w:br/>
            </w:r>
            <w:r>
              <w:rPr>
                <w:rFonts w:ascii="Times New Roman" w:hAnsi="Times New Roman"/>
                <w:color w:val="646464"/>
                <w:sz w:val="18"/>
              </w:rPr>
              <w:t>Umsetzungs- und Rückversetzungsvermerk</w:t>
            </w:r>
          </w:p>
        </w:tc>
      </w:tr>
    </w:tbl>
    <w:p>
      <w:pPr>
        <w:spacing w:before="200" w:after="40"/>
      </w:pPr>
      <w:r>
        <w:rPr>
          <w:rFonts w:ascii="Times New Roman" w:hAnsi="Times New Roman"/>
          <w:color w:val="646464"/>
          <w:sz w:val="15"/>
        </w:rPr>
        <w:t>Stadt Musterstadt - Zentrale Vergabestelle · Bauhofstraße 4, 99999 Musterstadt</w:t>
      </w:r>
    </w:p>
    <w:p>
      <w:pPr>
        <w:spacing w:after="240"/>
      </w:pPr>
      <w:r>
        <w:t>Vergabeakte, Fachbereich Hochbau und Rechnungsprüfungsamt</w:t>
      </w:r>
    </w:p>
    <w:p>
      <w:pPr>
        <w:pStyle w:val="Title"/>
      </w:pPr>
      <w:r>
        <w:t>Umsetzung des Beschlusses VK ML 7-19/26</w:t>
      </w:r>
    </w:p>
    <w:p>
      <w:pPr>
        <w:pStyle w:val="Heading1"/>
      </w:pPr>
      <w:r>
        <w:t>1. Entscheidung</w:t>
      </w:r>
    </w:p>
    <w:p>
      <w:r>
        <w:t>Die Stadt setzt das Verfahren in den Stand vor Ablauf der Angebotsfrist zurück. Die elektronische Angebotsöffnung vom 15.07.2026 wird nicht als Wertungsgrundlage verwendet. Bereits eingegangene Angebote bleiben im gesperrten Projektraum archiviert und können von den Bietern durch vollständig neue Angebote ersetzt werden.</w:t>
      </w:r>
    </w:p>
    <w:p>
      <w:pPr>
        <w:pStyle w:val="Heading1"/>
      </w:pPr>
      <w:r>
        <w:t>2. Berichtigungsumfang</w:t>
      </w:r>
    </w:p>
    <w:tbl>
      <w:tblPr>
        <w:tblStyle w:val="TableGrid"/>
        <w:tblW w:type="dxa" w:w="9072"/>
        <w:jc w:val="left"/>
        <w:tblLayout w:type="fixed"/>
        <w:tblLook w:firstColumn="1" w:firstRow="1" w:lastColumn="0" w:lastRow="0" w:noHBand="0" w:noVBand="1" w:val="04A0"/>
      </w:tblPr>
      <w:tblGrid>
        <w:gridCol w:w="1745"/>
        <w:gridCol w:w="2380"/>
        <w:gridCol w:w="3161"/>
        <w:gridCol w:w="1786"/>
      </w:tblGrid>
      <w:tr>
        <w:trPr>
          <w:tblHeader w:val="true"/>
          <w:cantSplit/>
        </w:trPr>
        <w:tc>
          <w:tcPr>
            <w:tcW w:type="dxa" w:w="1745"/>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Bereich</w:t>
            </w:r>
          </w:p>
        </w:tc>
        <w:tc>
          <w:tcPr>
            <w:tcW w:type="dxa" w:w="23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bisheriger Stand</w:t>
            </w:r>
          </w:p>
        </w:tc>
        <w:tc>
          <w:tcPr>
            <w:tcW w:type="dxa" w:w="3161"/>
            <w:vAlign w:val="top"/>
            <w:tcMar>
              <w:top w:w="60" w:type="dxa"/>
              <w:start w:w="90" w:type="dxa"/>
              <w:bottom w:w="60" w:type="dxa"/>
              <w:end w:w="90" w:type="dxa"/>
            </w:tcMar>
            <w:shd w:fill="01696F"/>
          </w:tcPr>
          <w:p>
            <w:pPr>
              <w:keepLines/>
              <w:spacing w:after="0"/>
            </w:pPr>
            <w:r/>
            <w:r>
              <w:rPr>
                <w:rFonts w:ascii="Times New Roman" w:hAnsi="Times New Roman"/>
                <w:b/>
                <w:color w:val="FFFFFF"/>
                <w:sz w:val="17"/>
              </w:rPr>
              <w:t>neuer Stand</w:t>
            </w:r>
          </w:p>
        </w:tc>
        <w:tc>
          <w:tcPr>
            <w:tcW w:type="dxa" w:w="1786"/>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Verantwortlich</w:t>
            </w:r>
          </w:p>
        </w:tc>
      </w:tr>
      <w:tr>
        <w:trPr>
          <w:cantSplit/>
        </w:trPr>
        <w:tc>
          <w:tcPr>
            <w:tcW w:type="dxa" w:w="1745"/>
            <w:vAlign w:val="top"/>
            <w:tcMar>
              <w:top w:w="60" w:type="dxa"/>
              <w:start w:w="90" w:type="dxa"/>
              <w:bottom w:w="60" w:type="dxa"/>
              <w:end w:w="90" w:type="dxa"/>
            </w:tcMar>
          </w:tcPr>
          <w:p>
            <w:pPr>
              <w:keepLines/>
              <w:spacing w:after="0"/>
            </w:pPr>
            <w:r/>
            <w:r>
              <w:rPr>
                <w:rFonts w:ascii="Times New Roman" w:hAnsi="Times New Roman"/>
                <w:sz w:val="17"/>
              </w:rPr>
              <w:t>Position 03.02.140</w:t>
            </w:r>
          </w:p>
        </w:tc>
        <w:tc>
          <w:tcPr>
            <w:tcW w:type="dxa" w:w="2380"/>
            <w:vAlign w:val="top"/>
            <w:tcMar>
              <w:top w:w="60" w:type="dxa"/>
              <w:start w:w="90" w:type="dxa"/>
              <w:bottom w:w="60" w:type="dxa"/>
              <w:end w:w="90" w:type="dxa"/>
            </w:tcMar>
          </w:tcPr>
          <w:p>
            <w:pPr>
              <w:keepLines/>
              <w:spacing w:after="0"/>
            </w:pPr>
            <w:r/>
            <w:r>
              <w:rPr>
                <w:rFonts w:ascii="Times New Roman" w:hAnsi="Times New Roman"/>
                <w:sz w:val="17"/>
              </w:rPr>
              <w:t>Fabrikatsnennung ohne belastbare Öffnung</w:t>
            </w:r>
          </w:p>
        </w:tc>
        <w:tc>
          <w:tcPr>
            <w:tcW w:type="dxa" w:w="3161"/>
            <w:vAlign w:val="top"/>
            <w:tcMar>
              <w:top w:w="60" w:type="dxa"/>
              <w:start w:w="90" w:type="dxa"/>
              <w:bottom w:w="60" w:type="dxa"/>
              <w:end w:w="90" w:type="dxa"/>
            </w:tcMar>
          </w:tcPr>
          <w:p>
            <w:pPr>
              <w:keepLines/>
              <w:spacing w:after="0"/>
            </w:pPr>
            <w:r/>
            <w:r>
              <w:rPr>
                <w:rFonts w:ascii="Times New Roman" w:hAnsi="Times New Roman"/>
                <w:sz w:val="17"/>
              </w:rPr>
              <w:t>funktionale Mindestmerkmale und Gleichwertigkeitsnachweise</w:t>
            </w:r>
          </w:p>
        </w:tc>
        <w:tc>
          <w:tcPr>
            <w:tcW w:type="dxa" w:w="1786"/>
            <w:vAlign w:val="top"/>
            <w:tcMar>
              <w:top w:w="60" w:type="dxa"/>
              <w:start w:w="90" w:type="dxa"/>
              <w:bottom w:w="60" w:type="dxa"/>
              <w:end w:w="90" w:type="dxa"/>
            </w:tcMar>
          </w:tcPr>
          <w:p>
            <w:pPr>
              <w:keepLines/>
              <w:spacing w:after="0"/>
            </w:pPr>
            <w:r/>
            <w:r>
              <w:rPr>
                <w:rFonts w:ascii="Times New Roman" w:hAnsi="Times New Roman"/>
                <w:sz w:val="17"/>
              </w:rPr>
              <w:t>Fachplanung</w:t>
            </w:r>
          </w:p>
        </w:tc>
      </w:tr>
      <w:tr>
        <w:trPr>
          <w:cantSplit/>
        </w:trPr>
        <w:tc>
          <w:tcPr>
            <w:tcW w:type="dxa" w:w="1745"/>
            <w:vAlign w:val="top"/>
            <w:tcMar>
              <w:top w:w="60" w:type="dxa"/>
              <w:start w:w="90" w:type="dxa"/>
              <w:bottom w:w="60" w:type="dxa"/>
              <w:end w:w="90" w:type="dxa"/>
            </w:tcMar>
            <w:shd w:fill="F1F3F3"/>
          </w:tcPr>
          <w:p>
            <w:pPr>
              <w:keepLines/>
              <w:spacing w:after="0"/>
            </w:pPr>
            <w:r/>
            <w:r>
              <w:rPr>
                <w:rFonts w:ascii="Times New Roman" w:hAnsi="Times New Roman"/>
                <w:sz w:val="17"/>
              </w:rPr>
              <w:t>GAEB X83</w:t>
            </w:r>
          </w:p>
        </w:tc>
        <w:tc>
          <w:tcPr>
            <w:tcW w:type="dxa" w:w="2380"/>
            <w:vAlign w:val="top"/>
            <w:tcMar>
              <w:top w:w="60" w:type="dxa"/>
              <w:start w:w="90" w:type="dxa"/>
              <w:bottom w:w="60" w:type="dxa"/>
              <w:end w:w="90" w:type="dxa"/>
            </w:tcMar>
            <w:shd w:fill="F1F3F3"/>
          </w:tcPr>
          <w:p>
            <w:pPr>
              <w:keepLines/>
              <w:spacing w:after="0"/>
            </w:pPr>
            <w:r/>
            <w:r>
              <w:rPr>
                <w:rFonts w:ascii="Times New Roman" w:hAnsi="Times New Roman"/>
                <w:sz w:val="17"/>
              </w:rPr>
              <w:t>Versionsstand 03 vom 16.06.2026</w:t>
            </w:r>
          </w:p>
        </w:tc>
        <w:tc>
          <w:tcPr>
            <w:tcW w:type="dxa" w:w="3161"/>
            <w:vAlign w:val="top"/>
            <w:tcMar>
              <w:top w:w="60" w:type="dxa"/>
              <w:start w:w="90" w:type="dxa"/>
              <w:bottom w:w="60" w:type="dxa"/>
              <w:end w:w="90" w:type="dxa"/>
            </w:tcMar>
            <w:shd w:fill="F1F3F3"/>
          </w:tcPr>
          <w:p>
            <w:pPr>
              <w:keepLines/>
              <w:spacing w:after="0"/>
            </w:pPr>
            <w:r/>
            <w:r>
              <w:rPr>
                <w:rFonts w:ascii="Times New Roman" w:hAnsi="Times New Roman"/>
                <w:sz w:val="17"/>
              </w:rPr>
              <w:t>Versionsstand 04 mit unveränderter Ordnungszahl</w:t>
            </w:r>
          </w:p>
        </w:tc>
        <w:tc>
          <w:tcPr>
            <w:tcW w:type="dxa" w:w="1786"/>
            <w:vAlign w:val="top"/>
            <w:tcMar>
              <w:top w:w="60" w:type="dxa"/>
              <w:start w:w="90" w:type="dxa"/>
              <w:bottom w:w="60" w:type="dxa"/>
              <w:end w:w="90" w:type="dxa"/>
            </w:tcMar>
            <w:shd w:fill="F1F3F3"/>
          </w:tcPr>
          <w:p>
            <w:pPr>
              <w:keepLines/>
              <w:spacing w:after="0"/>
            </w:pPr>
            <w:r/>
            <w:r>
              <w:rPr>
                <w:rFonts w:ascii="Times New Roman" w:hAnsi="Times New Roman"/>
                <w:sz w:val="17"/>
              </w:rPr>
              <w:t>AVA-Stelle</w:t>
            </w:r>
          </w:p>
        </w:tc>
      </w:tr>
      <w:tr>
        <w:trPr>
          <w:cantSplit/>
        </w:trPr>
        <w:tc>
          <w:tcPr>
            <w:tcW w:type="dxa" w:w="1745"/>
            <w:vAlign w:val="top"/>
            <w:tcMar>
              <w:top w:w="60" w:type="dxa"/>
              <w:start w:w="90" w:type="dxa"/>
              <w:bottom w:w="60" w:type="dxa"/>
              <w:end w:w="90" w:type="dxa"/>
            </w:tcMar>
          </w:tcPr>
          <w:p>
            <w:pPr>
              <w:keepLines/>
              <w:spacing w:after="0"/>
            </w:pPr>
            <w:r/>
            <w:r>
              <w:rPr>
                <w:rFonts w:ascii="Times New Roman" w:hAnsi="Times New Roman"/>
                <w:sz w:val="17"/>
              </w:rPr>
              <w:t>PDF-LV</w:t>
            </w:r>
          </w:p>
        </w:tc>
        <w:tc>
          <w:tcPr>
            <w:tcW w:type="dxa" w:w="2380"/>
            <w:vAlign w:val="top"/>
            <w:tcMar>
              <w:top w:w="60" w:type="dxa"/>
              <w:start w:w="90" w:type="dxa"/>
              <w:bottom w:w="60" w:type="dxa"/>
              <w:end w:w="90" w:type="dxa"/>
            </w:tcMar>
          </w:tcPr>
          <w:p>
            <w:pPr>
              <w:keepLines/>
              <w:spacing w:after="0"/>
            </w:pPr>
            <w:r/>
            <w:r>
              <w:rPr>
                <w:rFonts w:ascii="Times New Roman" w:hAnsi="Times New Roman"/>
                <w:sz w:val="17"/>
              </w:rPr>
              <w:t>abweichende Seitenreferenz</w:t>
            </w:r>
          </w:p>
        </w:tc>
        <w:tc>
          <w:tcPr>
            <w:tcW w:type="dxa" w:w="3161"/>
            <w:vAlign w:val="top"/>
            <w:tcMar>
              <w:top w:w="60" w:type="dxa"/>
              <w:start w:w="90" w:type="dxa"/>
              <w:bottom w:w="60" w:type="dxa"/>
              <w:end w:w="90" w:type="dxa"/>
            </w:tcMar>
          </w:tcPr>
          <w:p>
            <w:pPr>
              <w:keepLines/>
              <w:spacing w:after="0"/>
            </w:pPr>
            <w:r/>
            <w:r>
              <w:rPr>
                <w:rFonts w:ascii="Times New Roman" w:hAnsi="Times New Roman"/>
                <w:sz w:val="17"/>
              </w:rPr>
              <w:t>gleiche Positionsnummer und gleicher Kurztext wie X83</w:t>
            </w:r>
          </w:p>
        </w:tc>
        <w:tc>
          <w:tcPr>
            <w:tcW w:type="dxa" w:w="1786"/>
            <w:vAlign w:val="top"/>
            <w:tcMar>
              <w:top w:w="60" w:type="dxa"/>
              <w:start w:w="90" w:type="dxa"/>
              <w:bottom w:w="60" w:type="dxa"/>
              <w:end w:w="90" w:type="dxa"/>
            </w:tcMar>
          </w:tcPr>
          <w:p>
            <w:pPr>
              <w:keepLines/>
              <w:spacing w:after="0"/>
            </w:pPr>
            <w:r/>
            <w:r>
              <w:rPr>
                <w:rFonts w:ascii="Times New Roman" w:hAnsi="Times New Roman"/>
                <w:sz w:val="17"/>
              </w:rPr>
              <w:t>Vergabestelle</w:t>
            </w:r>
          </w:p>
        </w:tc>
      </w:tr>
      <w:tr>
        <w:trPr>
          <w:cantSplit/>
        </w:trPr>
        <w:tc>
          <w:tcPr>
            <w:tcW w:type="dxa" w:w="1745"/>
            <w:vAlign w:val="top"/>
            <w:tcMar>
              <w:top w:w="60" w:type="dxa"/>
              <w:start w:w="90" w:type="dxa"/>
              <w:bottom w:w="60" w:type="dxa"/>
              <w:end w:w="90" w:type="dxa"/>
            </w:tcMar>
            <w:shd w:fill="F1F3F3"/>
          </w:tcPr>
          <w:p>
            <w:pPr>
              <w:keepLines/>
              <w:spacing w:after="0"/>
            </w:pPr>
            <w:r/>
            <w:r>
              <w:rPr>
                <w:rFonts w:ascii="Times New Roman" w:hAnsi="Times New Roman"/>
                <w:sz w:val="17"/>
              </w:rPr>
              <w:t>Angebotsfrist</w:t>
            </w:r>
          </w:p>
        </w:tc>
        <w:tc>
          <w:tcPr>
            <w:tcW w:type="dxa" w:w="2380"/>
            <w:vAlign w:val="top"/>
            <w:tcMar>
              <w:top w:w="60" w:type="dxa"/>
              <w:start w:w="90" w:type="dxa"/>
              <w:bottom w:w="60" w:type="dxa"/>
              <w:end w:w="90" w:type="dxa"/>
            </w:tcMar>
            <w:shd w:fill="F1F3F3"/>
          </w:tcPr>
          <w:p>
            <w:pPr>
              <w:keepLines/>
              <w:spacing w:after="0"/>
            </w:pPr>
            <w:r/>
            <w:r>
              <w:rPr>
                <w:rFonts w:ascii="Times New Roman" w:hAnsi="Times New Roman"/>
                <w:sz w:val="17"/>
              </w:rPr>
              <w:t>15.07.2026</w:t>
            </w:r>
          </w:p>
        </w:tc>
        <w:tc>
          <w:tcPr>
            <w:tcW w:type="dxa" w:w="3161"/>
            <w:vAlign w:val="top"/>
            <w:tcMar>
              <w:top w:w="60" w:type="dxa"/>
              <w:start w:w="90" w:type="dxa"/>
              <w:bottom w:w="60" w:type="dxa"/>
              <w:end w:w="90" w:type="dxa"/>
            </w:tcMar>
            <w:shd w:fill="F1F3F3"/>
          </w:tcPr>
          <w:p>
            <w:pPr>
              <w:keepLines/>
              <w:spacing w:after="0"/>
            </w:pPr>
            <w:r/>
            <w:r>
              <w:rPr>
                <w:rFonts w:ascii="Times New Roman" w:hAnsi="Times New Roman"/>
                <w:sz w:val="17"/>
              </w:rPr>
              <w:t>20.08.2026, 12:00 Uhr</w:t>
            </w:r>
          </w:p>
        </w:tc>
        <w:tc>
          <w:tcPr>
            <w:tcW w:type="dxa" w:w="1786"/>
            <w:vAlign w:val="top"/>
            <w:tcMar>
              <w:top w:w="60" w:type="dxa"/>
              <w:start w:w="90" w:type="dxa"/>
              <w:bottom w:w="60" w:type="dxa"/>
              <w:end w:w="90" w:type="dxa"/>
            </w:tcMar>
            <w:shd w:fill="F1F3F3"/>
          </w:tcPr>
          <w:p>
            <w:pPr>
              <w:keepLines/>
              <w:spacing w:after="0"/>
            </w:pPr>
            <w:r/>
            <w:r>
              <w:rPr>
                <w:rFonts w:ascii="Times New Roman" w:hAnsi="Times New Roman"/>
                <w:sz w:val="17"/>
              </w:rPr>
              <w:t>Vergabestelle</w:t>
            </w:r>
          </w:p>
        </w:tc>
      </w:tr>
      <w:tr>
        <w:trPr>
          <w:cantSplit/>
        </w:trPr>
        <w:tc>
          <w:tcPr>
            <w:tcW w:type="dxa" w:w="1745"/>
            <w:vAlign w:val="top"/>
            <w:tcMar>
              <w:top w:w="60" w:type="dxa"/>
              <w:start w:w="90" w:type="dxa"/>
              <w:bottom w:w="60" w:type="dxa"/>
              <w:end w:w="90" w:type="dxa"/>
            </w:tcMar>
          </w:tcPr>
          <w:p>
            <w:pPr>
              <w:keepLines/>
              <w:spacing w:after="0"/>
            </w:pPr>
            <w:r/>
            <w:r>
              <w:rPr>
                <w:rFonts w:ascii="Times New Roman" w:hAnsi="Times New Roman"/>
                <w:sz w:val="17"/>
              </w:rPr>
              <w:t>Bindefrist</w:t>
            </w:r>
          </w:p>
        </w:tc>
        <w:tc>
          <w:tcPr>
            <w:tcW w:type="dxa" w:w="2380"/>
            <w:vAlign w:val="top"/>
            <w:tcMar>
              <w:top w:w="60" w:type="dxa"/>
              <w:start w:w="90" w:type="dxa"/>
              <w:bottom w:w="60" w:type="dxa"/>
              <w:end w:w="90" w:type="dxa"/>
            </w:tcMar>
          </w:tcPr>
          <w:p>
            <w:pPr>
              <w:keepLines/>
              <w:spacing w:after="0"/>
            </w:pPr>
            <w:r/>
            <w:r>
              <w:rPr>
                <w:rFonts w:ascii="Times New Roman" w:hAnsi="Times New Roman"/>
                <w:sz w:val="17"/>
              </w:rPr>
              <w:t>30.09.2026</w:t>
            </w:r>
          </w:p>
        </w:tc>
        <w:tc>
          <w:tcPr>
            <w:tcW w:type="dxa" w:w="3161"/>
            <w:vAlign w:val="top"/>
            <w:tcMar>
              <w:top w:w="60" w:type="dxa"/>
              <w:start w:w="90" w:type="dxa"/>
              <w:bottom w:w="60" w:type="dxa"/>
              <w:end w:w="90" w:type="dxa"/>
            </w:tcMar>
          </w:tcPr>
          <w:p>
            <w:pPr>
              <w:keepLines/>
              <w:spacing w:after="0"/>
            </w:pPr>
            <w:r/>
            <w:r>
              <w:rPr>
                <w:rFonts w:ascii="Times New Roman" w:hAnsi="Times New Roman"/>
                <w:sz w:val="17"/>
              </w:rPr>
              <w:t>30.10.2026</w:t>
            </w:r>
          </w:p>
        </w:tc>
        <w:tc>
          <w:tcPr>
            <w:tcW w:type="dxa" w:w="1786"/>
            <w:vAlign w:val="top"/>
            <w:tcMar>
              <w:top w:w="60" w:type="dxa"/>
              <w:start w:w="90" w:type="dxa"/>
              <w:bottom w:w="60" w:type="dxa"/>
              <w:end w:w="90" w:type="dxa"/>
            </w:tcMar>
          </w:tcPr>
          <w:p>
            <w:pPr>
              <w:keepLines/>
              <w:spacing w:after="0"/>
            </w:pPr>
            <w:r/>
            <w:r>
              <w:rPr>
                <w:rFonts w:ascii="Times New Roman" w:hAnsi="Times New Roman"/>
                <w:sz w:val="17"/>
              </w:rPr>
              <w:t>Vergabestelle</w:t>
            </w:r>
          </w:p>
        </w:tc>
      </w:tr>
    </w:tbl>
    <w:p>
      <w:pPr>
        <w:spacing w:after="0" w:before="40"/>
      </w:pPr>
    </w:p>
    <w:p>
      <w:r>
        <w:t>Andere Leistungspositionen, Mengen und Zuschlagskriterien werden nicht geändert. Die Vergabestelle prüft vor Veröffentlichung mit einem automatisierten GAEB-/PDF-Abgleich, ob Ordnungszahlen, Einheiten, Mengen und Kurztexte übereinstimmen.</w:t>
      </w:r>
    </w:p>
    <w:p>
      <w:pPr>
        <w:pStyle w:val="Heading1"/>
      </w:pPr>
      <w:r>
        <w:t>3. Umgang mit Altangeboten</w:t>
      </w:r>
    </w:p>
    <w:p>
      <w:pPr>
        <w:pStyle w:val="ListNumber"/>
        <w:keepNext/>
        <w:keepLines/>
      </w:pPr>
      <w:r>
        <w:t>Die Altangebote werden weder geöffnet noch inhaltlich ausgewertet.</w:t>
      </w:r>
    </w:p>
    <w:p>
      <w:pPr>
        <w:pStyle w:val="ListNumber"/>
        <w:keepNext/>
        <w:keepLines/>
      </w:pPr>
      <w:r>
        <w:t>Die Bieter erhalten den Hinweis, dass nur ein nach der Berichtigung neu übermitteltes Angebot gewertet wird.</w:t>
      </w:r>
    </w:p>
    <w:p>
      <w:pPr>
        <w:pStyle w:val="ListNumber"/>
        <w:keepNext/>
        <w:keepLines/>
      </w:pPr>
      <w:r>
        <w:t>Ein bloßes Bestätigen des alten Angebots ist technisch nicht vorgesehen; die Plattform verlangt eine neue vollständige Abgabe.</w:t>
      </w:r>
    </w:p>
    <w:p>
      <w:pPr>
        <w:pStyle w:val="ListNumber"/>
        <w:keepNext/>
        <w:keepLines/>
      </w:pPr>
      <w:r>
        <w:t>Die Vergabestelle protokolliert Hashwert, Eingangszeit und erfolgreichen Rücklesetest jeder neuen GAEB-X84-Datei.</w:t>
      </w:r>
    </w:p>
    <w:p>
      <w:pPr>
        <w:pStyle w:val="Heading1"/>
        <w:keepNext/>
        <w:keepLines/>
      </w:pPr>
      <w:r>
        <w:t>4. Freigabekette</w:t>
      </w:r>
    </w:p>
    <w:tbl>
      <w:tblPr>
        <w:tblStyle w:val="TableGrid"/>
        <w:tblW w:type="dxa" w:w="9071"/>
        <w:jc w:val="left"/>
        <w:tblLayout w:type="fixed"/>
        <w:tblLook w:firstColumn="1" w:firstRow="1" w:lastColumn="0" w:lastRow="0" w:noHBand="0" w:noVBand="1" w:val="04A0"/>
      </w:tblPr>
      <w:tblGrid>
        <w:gridCol w:w="2569"/>
        <w:gridCol w:w="3919"/>
        <w:gridCol w:w="2583"/>
      </w:tblGrid>
      <w:tr>
        <w:trPr>
          <w:tblHeader w:val="true"/>
          <w:cantSplit/>
        </w:trPr>
        <w:tc>
          <w:tcPr>
            <w:tcW w:type="dxa" w:w="2569"/>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Freigabe</w:t>
            </w:r>
          </w:p>
        </w:tc>
        <w:tc>
          <w:tcPr>
            <w:tcW w:type="dxa" w:w="3919"/>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Prüfschwerpunkt</w:t>
            </w:r>
          </w:p>
        </w:tc>
        <w:tc>
          <w:tcPr>
            <w:tcW w:type="dxa" w:w="2583"/>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r>
      <w:tr>
        <w:trPr>
          <w:cantSplit/>
        </w:trPr>
        <w:tc>
          <w:tcPr>
            <w:tcW w:type="dxa" w:w="2569"/>
            <w:vAlign w:val="top"/>
            <w:tcMar>
              <w:top w:w="60" w:type="dxa"/>
              <w:start w:w="90" w:type="dxa"/>
              <w:bottom w:w="60" w:type="dxa"/>
              <w:end w:w="90" w:type="dxa"/>
            </w:tcMar>
          </w:tcPr>
          <w:p>
            <w:pPr>
              <w:keepLines/>
              <w:spacing w:after="0"/>
            </w:pPr>
            <w:r/>
            <w:r>
              <w:rPr>
                <w:rFonts w:ascii="Times New Roman" w:hAnsi="Times New Roman"/>
                <w:sz w:val="17"/>
              </w:rPr>
              <w:t>Fachplanung</w:t>
            </w:r>
          </w:p>
        </w:tc>
        <w:tc>
          <w:tcPr>
            <w:tcW w:type="dxa" w:w="3919"/>
            <w:vAlign w:val="top"/>
            <w:tcMar>
              <w:top w:w="60" w:type="dxa"/>
              <w:start w:w="90" w:type="dxa"/>
              <w:bottom w:w="60" w:type="dxa"/>
              <w:end w:w="90" w:type="dxa"/>
            </w:tcMar>
          </w:tcPr>
          <w:p>
            <w:pPr>
              <w:keepLines/>
              <w:spacing w:after="0"/>
            </w:pPr>
            <w:r/>
            <w:r>
              <w:rPr>
                <w:rFonts w:ascii="Times New Roman" w:hAnsi="Times New Roman"/>
                <w:sz w:val="17"/>
              </w:rPr>
              <w:t>technische Notwendigkeit und Gleichwertigkeit</w:t>
            </w:r>
          </w:p>
        </w:tc>
        <w:tc>
          <w:tcPr>
            <w:tcW w:type="dxa" w:w="2583"/>
            <w:vAlign w:val="top"/>
            <w:tcMar>
              <w:top w:w="60" w:type="dxa"/>
              <w:start w:w="90" w:type="dxa"/>
              <w:bottom w:w="60" w:type="dxa"/>
              <w:end w:w="90" w:type="dxa"/>
            </w:tcMar>
          </w:tcPr>
          <w:p>
            <w:pPr>
              <w:keepLines/>
              <w:spacing w:after="0"/>
            </w:pPr>
            <w:r/>
            <w:r>
              <w:rPr>
                <w:rFonts w:ascii="Times New Roman" w:hAnsi="Times New Roman"/>
                <w:sz w:val="17"/>
              </w:rPr>
              <w:t>freigegeben mit Matrix</w:t>
            </w:r>
          </w:p>
        </w:tc>
      </w:tr>
      <w:tr>
        <w:trPr>
          <w:cantSplit/>
        </w:trPr>
        <w:tc>
          <w:tcPr>
            <w:tcW w:type="dxa" w:w="2569"/>
            <w:vAlign w:val="top"/>
            <w:tcMar>
              <w:top w:w="60" w:type="dxa"/>
              <w:start w:w="90" w:type="dxa"/>
              <w:bottom w:w="60" w:type="dxa"/>
              <w:end w:w="90" w:type="dxa"/>
            </w:tcMar>
            <w:shd w:fill="F1F3F3"/>
          </w:tcPr>
          <w:p>
            <w:pPr>
              <w:keepLines/>
              <w:spacing w:after="0"/>
            </w:pPr>
            <w:r/>
            <w:r>
              <w:rPr>
                <w:rFonts w:ascii="Times New Roman" w:hAnsi="Times New Roman"/>
                <w:sz w:val="17"/>
              </w:rPr>
              <w:t>AVA-Stelle</w:t>
            </w:r>
          </w:p>
        </w:tc>
        <w:tc>
          <w:tcPr>
            <w:tcW w:type="dxa" w:w="3919"/>
            <w:vAlign w:val="top"/>
            <w:tcMar>
              <w:top w:w="60" w:type="dxa"/>
              <w:start w:w="90" w:type="dxa"/>
              <w:bottom w:w="60" w:type="dxa"/>
              <w:end w:w="90" w:type="dxa"/>
            </w:tcMar>
            <w:shd w:fill="F1F3F3"/>
          </w:tcPr>
          <w:p>
            <w:pPr>
              <w:keepLines/>
              <w:spacing w:after="0"/>
            </w:pPr>
            <w:r/>
            <w:r>
              <w:rPr>
                <w:rFonts w:ascii="Times New Roman" w:hAnsi="Times New Roman"/>
                <w:sz w:val="17"/>
              </w:rPr>
              <w:t>X83-Schema, Position und Einheit</w:t>
            </w:r>
          </w:p>
        </w:tc>
        <w:tc>
          <w:tcPr>
            <w:tcW w:type="dxa" w:w="2583"/>
            <w:vAlign w:val="top"/>
            <w:tcMar>
              <w:top w:w="60" w:type="dxa"/>
              <w:start w:w="90" w:type="dxa"/>
              <w:bottom w:w="60" w:type="dxa"/>
              <w:end w:w="90" w:type="dxa"/>
            </w:tcMar>
            <w:shd w:fill="F1F3F3"/>
          </w:tcPr>
          <w:p>
            <w:pPr>
              <w:keepLines/>
              <w:spacing w:after="0"/>
            </w:pPr>
            <w:r/>
            <w:r>
              <w:rPr>
                <w:rFonts w:ascii="Times New Roman" w:hAnsi="Times New Roman"/>
                <w:sz w:val="17"/>
              </w:rPr>
              <w:t>fehlerfrei importiert</w:t>
            </w:r>
          </w:p>
        </w:tc>
      </w:tr>
      <w:tr>
        <w:trPr>
          <w:cantSplit/>
        </w:trPr>
        <w:tc>
          <w:tcPr>
            <w:tcW w:type="dxa" w:w="2569"/>
            <w:vAlign w:val="top"/>
            <w:tcMar>
              <w:top w:w="60" w:type="dxa"/>
              <w:start w:w="90" w:type="dxa"/>
              <w:bottom w:w="60" w:type="dxa"/>
              <w:end w:w="90" w:type="dxa"/>
            </w:tcMar>
          </w:tcPr>
          <w:p>
            <w:pPr>
              <w:keepLines/>
              <w:spacing w:after="0"/>
            </w:pPr>
            <w:r/>
            <w:r>
              <w:rPr>
                <w:rFonts w:ascii="Times New Roman" w:hAnsi="Times New Roman"/>
                <w:sz w:val="17"/>
              </w:rPr>
              <w:t>Vergabestelle</w:t>
            </w:r>
          </w:p>
        </w:tc>
        <w:tc>
          <w:tcPr>
            <w:tcW w:type="dxa" w:w="3919"/>
            <w:vAlign w:val="top"/>
            <w:tcMar>
              <w:top w:w="60" w:type="dxa"/>
              <w:start w:w="90" w:type="dxa"/>
              <w:bottom w:w="60" w:type="dxa"/>
              <w:end w:w="90" w:type="dxa"/>
            </w:tcMar>
          </w:tcPr>
          <w:p>
            <w:pPr>
              <w:keepLines/>
              <w:spacing w:after="0"/>
            </w:pPr>
            <w:r/>
            <w:r>
              <w:rPr>
                <w:rFonts w:ascii="Times New Roman" w:hAnsi="Times New Roman"/>
                <w:sz w:val="17"/>
              </w:rPr>
              <w:t>Beschlussumsetzung und Fristen</w:t>
            </w:r>
          </w:p>
        </w:tc>
        <w:tc>
          <w:tcPr>
            <w:tcW w:type="dxa" w:w="2583"/>
            <w:vAlign w:val="top"/>
            <w:tcMar>
              <w:top w:w="60" w:type="dxa"/>
              <w:start w:w="90" w:type="dxa"/>
              <w:bottom w:w="60" w:type="dxa"/>
              <w:end w:w="90" w:type="dxa"/>
            </w:tcMar>
          </w:tcPr>
          <w:p>
            <w:pPr>
              <w:keepLines/>
              <w:spacing w:after="0"/>
            </w:pPr>
            <w:r/>
            <w:r>
              <w:rPr>
                <w:rFonts w:ascii="Times New Roman" w:hAnsi="Times New Roman"/>
                <w:sz w:val="17"/>
              </w:rPr>
              <w:t>freigegeben</w:t>
            </w:r>
          </w:p>
        </w:tc>
      </w:tr>
      <w:tr>
        <w:trPr>
          <w:cantSplit/>
        </w:trPr>
        <w:tc>
          <w:tcPr>
            <w:tcW w:type="dxa" w:w="2569"/>
            <w:vAlign w:val="top"/>
            <w:tcMar>
              <w:top w:w="60" w:type="dxa"/>
              <w:start w:w="90" w:type="dxa"/>
              <w:bottom w:w="60" w:type="dxa"/>
              <w:end w:w="90" w:type="dxa"/>
            </w:tcMar>
            <w:shd w:fill="F1F3F3"/>
          </w:tcPr>
          <w:p>
            <w:pPr>
              <w:keepLines/>
              <w:spacing w:after="0"/>
            </w:pPr>
            <w:r/>
            <w:r>
              <w:rPr>
                <w:rFonts w:ascii="Times New Roman" w:hAnsi="Times New Roman"/>
                <w:sz w:val="17"/>
              </w:rPr>
              <w:t>Rechnungsprüfung</w:t>
            </w:r>
          </w:p>
        </w:tc>
        <w:tc>
          <w:tcPr>
            <w:tcW w:type="dxa" w:w="3919"/>
            <w:vAlign w:val="top"/>
            <w:tcMar>
              <w:top w:w="60" w:type="dxa"/>
              <w:start w:w="90" w:type="dxa"/>
              <w:bottom w:w="60" w:type="dxa"/>
              <w:end w:w="90" w:type="dxa"/>
            </w:tcMar>
            <w:shd w:fill="F1F3F3"/>
          </w:tcPr>
          <w:p>
            <w:pPr>
              <w:keepLines/>
              <w:spacing w:after="0"/>
            </w:pPr>
            <w:r/>
            <w:r>
              <w:rPr>
                <w:rFonts w:ascii="Times New Roman" w:hAnsi="Times New Roman"/>
                <w:sz w:val="17"/>
              </w:rPr>
              <w:t>Änderungsumfang und Wettbewerb</w:t>
            </w:r>
          </w:p>
        </w:tc>
        <w:tc>
          <w:tcPr>
            <w:tcW w:type="dxa" w:w="2583"/>
            <w:vAlign w:val="top"/>
            <w:tcMar>
              <w:top w:w="60" w:type="dxa"/>
              <w:start w:w="90" w:type="dxa"/>
              <w:bottom w:w="60" w:type="dxa"/>
              <w:end w:w="90" w:type="dxa"/>
            </w:tcMar>
            <w:shd w:fill="F1F3F3"/>
          </w:tcPr>
          <w:p>
            <w:pPr>
              <w:keepLines/>
              <w:spacing w:after="0"/>
            </w:pPr>
            <w:r/>
            <w:r>
              <w:rPr>
                <w:rFonts w:ascii="Times New Roman" w:hAnsi="Times New Roman"/>
                <w:sz w:val="17"/>
              </w:rPr>
              <w:t>keine Einwände</w:t>
            </w:r>
          </w:p>
        </w:tc>
      </w:tr>
    </w:tbl>
    <w:p>
      <w:pPr>
        <w:spacing w:after="0" w:before="40"/>
      </w:pPr>
    </w:p>
    <w:p>
      <w:pPr>
        <w:keepNext/>
        <w:keepLines/>
      </w:pPr>
      <w:r>
        <w:t>Die Berichtigung wird erst nach Abschluss aller vier Freigaben gleichzeitig in PDF und GAEB bereitgestellt.</w:t>
      </w:r>
    </w:p>
    <w:p>
      <w:pPr>
        <w:pStyle w:val="Heading1"/>
        <w:keepNext/>
        <w:keepLines/>
      </w:pPr>
      <w:r>
        <w:t>5. Rücksetzungs- und Sperrprotokoll</w:t>
      </w:r>
    </w:p>
    <w:tbl>
      <w:tblPr>
        <w:tblStyle w:val="TableGrid"/>
        <w:tblW w:type="dxa" w:w="9071"/>
        <w:jc w:val="left"/>
        <w:tblLayout w:type="fixed"/>
        <w:tblLook w:firstColumn="1" w:firstRow="1" w:lastColumn="0" w:lastRow="0" w:noHBand="0" w:noVBand="1" w:val="04A0"/>
      </w:tblPr>
      <w:tblGrid>
        <w:gridCol w:w="2448"/>
        <w:gridCol w:w="1883"/>
        <w:gridCol w:w="2531"/>
        <w:gridCol w:w="2209"/>
      </w:tblGrid>
      <w:tr>
        <w:trPr>
          <w:tblHeader w:val="true"/>
          <w:cantSplit/>
        </w:trPr>
        <w:tc>
          <w:tcPr>
            <w:tcW w:type="dxa" w:w="2448"/>
            <w:vAlign w:val="top"/>
            <w:tcMar>
              <w:top w:w="60" w:type="dxa"/>
              <w:start w:w="90" w:type="dxa"/>
              <w:bottom w:w="60" w:type="dxa"/>
              <w:end w:w="90" w:type="dxa"/>
            </w:tcMar>
            <w:shd w:fill="01696F"/>
          </w:tcPr>
          <w:p>
            <w:pPr>
              <w:keepLines/>
              <w:spacing w:after="0"/>
            </w:pPr>
            <w:r/>
            <w:r>
              <w:rPr>
                <w:rFonts w:ascii="Times New Roman" w:hAnsi="Times New Roman"/>
                <w:b/>
                <w:color w:val="FFFFFF"/>
                <w:sz w:val="17"/>
              </w:rPr>
              <w:t>Systemaktion</w:t>
            </w:r>
          </w:p>
        </w:tc>
        <w:tc>
          <w:tcPr>
            <w:tcW w:type="dxa" w:w="1883"/>
            <w:vAlign w:val="top"/>
            <w:tcMar>
              <w:top w:w="60" w:type="dxa"/>
              <w:start w:w="90" w:type="dxa"/>
              <w:bottom w:w="60" w:type="dxa"/>
              <w:end w:w="90" w:type="dxa"/>
            </w:tcMar>
            <w:shd w:fill="01696F"/>
          </w:tcPr>
          <w:p>
            <w:pPr>
              <w:keepLines/>
              <w:spacing w:after="0"/>
            </w:pPr>
            <w:r/>
            <w:r>
              <w:rPr>
                <w:rFonts w:ascii="Times New Roman" w:hAnsi="Times New Roman"/>
                <w:b/>
                <w:color w:val="FFFFFF"/>
                <w:sz w:val="17"/>
              </w:rPr>
              <w:t>Zeit</w:t>
            </w:r>
          </w:p>
        </w:tc>
        <w:tc>
          <w:tcPr>
            <w:tcW w:type="dxa" w:w="2531"/>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c>
          <w:tcPr>
            <w:tcW w:type="dxa" w:w="2209"/>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Beleg</w:t>
            </w:r>
          </w:p>
        </w:tc>
      </w:tr>
      <w:tr>
        <w:trPr>
          <w:cantSplit/>
        </w:trPr>
        <w:tc>
          <w:tcPr>
            <w:tcW w:type="dxa" w:w="2448"/>
            <w:vAlign w:val="top"/>
            <w:tcMar>
              <w:top w:w="60" w:type="dxa"/>
              <w:start w:w="90" w:type="dxa"/>
              <w:bottom w:w="60" w:type="dxa"/>
              <w:end w:w="90" w:type="dxa"/>
            </w:tcMar>
          </w:tcPr>
          <w:p>
            <w:pPr>
              <w:keepLines/>
              <w:spacing w:after="0"/>
            </w:pPr>
            <w:r/>
            <w:r>
              <w:rPr>
                <w:rFonts w:ascii="Times New Roman" w:hAnsi="Times New Roman"/>
                <w:sz w:val="17"/>
              </w:rPr>
              <w:t>alte X83-Fassung gesperrt</w:t>
            </w:r>
          </w:p>
        </w:tc>
        <w:tc>
          <w:tcPr>
            <w:tcW w:type="dxa" w:w="1883"/>
            <w:vAlign w:val="top"/>
            <w:tcMar>
              <w:top w:w="60" w:type="dxa"/>
              <w:start w:w="90" w:type="dxa"/>
              <w:bottom w:w="60" w:type="dxa"/>
              <w:end w:w="90" w:type="dxa"/>
            </w:tcMar>
          </w:tcPr>
          <w:p>
            <w:pPr>
              <w:keepLines/>
              <w:spacing w:after="0"/>
            </w:pPr>
            <w:r/>
            <w:r>
              <w:rPr>
                <w:rFonts w:ascii="Times New Roman" w:hAnsi="Times New Roman"/>
                <w:sz w:val="17"/>
              </w:rPr>
              <w:t>23.07.2026, 10:14 Uhr</w:t>
            </w:r>
          </w:p>
        </w:tc>
        <w:tc>
          <w:tcPr>
            <w:tcW w:type="dxa" w:w="2531"/>
            <w:vAlign w:val="top"/>
            <w:tcMar>
              <w:top w:w="60" w:type="dxa"/>
              <w:start w:w="90" w:type="dxa"/>
              <w:bottom w:w="60" w:type="dxa"/>
              <w:end w:w="90" w:type="dxa"/>
            </w:tcMar>
          </w:tcPr>
          <w:p>
            <w:pPr>
              <w:keepLines/>
              <w:spacing w:after="0"/>
            </w:pPr>
            <w:r/>
            <w:r>
              <w:rPr>
                <w:rFonts w:ascii="Times New Roman" w:hAnsi="Times New Roman"/>
                <w:sz w:val="17"/>
              </w:rPr>
              <w:t>kein weiterer Download</w:t>
            </w:r>
          </w:p>
        </w:tc>
        <w:tc>
          <w:tcPr>
            <w:tcW w:type="dxa" w:w="2209"/>
            <w:vAlign w:val="top"/>
            <w:tcMar>
              <w:top w:w="60" w:type="dxa"/>
              <w:start w:w="90" w:type="dxa"/>
              <w:bottom w:w="60" w:type="dxa"/>
              <w:end w:w="90" w:type="dxa"/>
            </w:tcMar>
          </w:tcPr>
          <w:p>
            <w:pPr>
              <w:keepLines/>
              <w:spacing w:after="0"/>
            </w:pPr>
            <w:r/>
            <w:r>
              <w:rPr>
                <w:rFonts w:ascii="Times New Roman" w:hAnsi="Times New Roman"/>
                <w:sz w:val="17"/>
              </w:rPr>
              <w:t>Portalprotokoll P-441</w:t>
            </w:r>
          </w:p>
        </w:tc>
      </w:tr>
      <w:tr>
        <w:trPr>
          <w:cantSplit/>
        </w:trPr>
        <w:tc>
          <w:tcPr>
            <w:tcW w:type="dxa" w:w="2448"/>
            <w:vAlign w:val="top"/>
            <w:tcMar>
              <w:top w:w="60" w:type="dxa"/>
              <w:start w:w="90" w:type="dxa"/>
              <w:bottom w:w="60" w:type="dxa"/>
              <w:end w:w="90" w:type="dxa"/>
            </w:tcMar>
            <w:shd w:fill="F1F3F3"/>
          </w:tcPr>
          <w:p>
            <w:pPr>
              <w:keepLines/>
              <w:spacing w:after="0"/>
            </w:pPr>
            <w:r/>
            <w:r>
              <w:rPr>
                <w:rFonts w:ascii="Times New Roman" w:hAnsi="Times New Roman"/>
                <w:sz w:val="17"/>
              </w:rPr>
              <w:t>Altangebote in Quarantäne verschoben</w:t>
            </w:r>
          </w:p>
        </w:tc>
        <w:tc>
          <w:tcPr>
            <w:tcW w:type="dxa" w:w="1883"/>
            <w:vAlign w:val="top"/>
            <w:tcMar>
              <w:top w:w="60" w:type="dxa"/>
              <w:start w:w="90" w:type="dxa"/>
              <w:bottom w:w="60" w:type="dxa"/>
              <w:end w:w="90" w:type="dxa"/>
            </w:tcMar>
            <w:shd w:fill="F1F3F3"/>
          </w:tcPr>
          <w:p>
            <w:pPr>
              <w:keepLines/>
              <w:spacing w:after="0"/>
            </w:pPr>
            <w:r/>
            <w:r>
              <w:rPr>
                <w:rFonts w:ascii="Times New Roman" w:hAnsi="Times New Roman"/>
                <w:sz w:val="17"/>
              </w:rPr>
              <w:t>23.07.2026, 10:31 Uhr</w:t>
            </w:r>
          </w:p>
        </w:tc>
        <w:tc>
          <w:tcPr>
            <w:tcW w:type="dxa" w:w="2531"/>
            <w:vAlign w:val="top"/>
            <w:tcMar>
              <w:top w:w="60" w:type="dxa"/>
              <w:start w:w="90" w:type="dxa"/>
              <w:bottom w:w="60" w:type="dxa"/>
              <w:end w:w="90" w:type="dxa"/>
            </w:tcMar>
            <w:shd w:fill="F1F3F3"/>
          </w:tcPr>
          <w:p>
            <w:pPr>
              <w:keepLines/>
              <w:spacing w:after="0"/>
            </w:pPr>
            <w:r/>
            <w:r>
              <w:rPr>
                <w:rFonts w:ascii="Times New Roman" w:hAnsi="Times New Roman"/>
                <w:sz w:val="17"/>
              </w:rPr>
              <w:t>keine Wertungsberechtigung</w:t>
            </w:r>
          </w:p>
        </w:tc>
        <w:tc>
          <w:tcPr>
            <w:tcW w:type="dxa" w:w="2209"/>
            <w:vAlign w:val="top"/>
            <w:tcMar>
              <w:top w:w="60" w:type="dxa"/>
              <w:start w:w="90" w:type="dxa"/>
              <w:bottom w:w="60" w:type="dxa"/>
              <w:end w:w="90" w:type="dxa"/>
            </w:tcMar>
            <w:shd w:fill="F1F3F3"/>
          </w:tcPr>
          <w:p>
            <w:pPr>
              <w:keepLines/>
              <w:spacing w:after="0"/>
            </w:pPr>
            <w:r/>
            <w:r>
              <w:rPr>
                <w:rFonts w:ascii="Times New Roman" w:hAnsi="Times New Roman"/>
                <w:sz w:val="17"/>
              </w:rPr>
              <w:t>Rechteexport R-19</w:t>
            </w:r>
          </w:p>
        </w:tc>
      </w:tr>
      <w:tr>
        <w:trPr>
          <w:cantSplit/>
        </w:trPr>
        <w:tc>
          <w:tcPr>
            <w:tcW w:type="dxa" w:w="2448"/>
            <w:vAlign w:val="top"/>
            <w:tcMar>
              <w:top w:w="60" w:type="dxa"/>
              <w:start w:w="90" w:type="dxa"/>
              <w:bottom w:w="60" w:type="dxa"/>
              <w:end w:w="90" w:type="dxa"/>
            </w:tcMar>
          </w:tcPr>
          <w:p>
            <w:pPr>
              <w:keepLines/>
              <w:spacing w:after="0"/>
            </w:pPr>
            <w:r/>
            <w:r>
              <w:rPr>
                <w:rFonts w:ascii="Times New Roman" w:hAnsi="Times New Roman"/>
                <w:sz w:val="17"/>
              </w:rPr>
              <w:t>Wertungsprojekt geschlossen</w:t>
            </w:r>
          </w:p>
        </w:tc>
        <w:tc>
          <w:tcPr>
            <w:tcW w:type="dxa" w:w="1883"/>
            <w:vAlign w:val="top"/>
            <w:tcMar>
              <w:top w:w="60" w:type="dxa"/>
              <w:start w:w="90" w:type="dxa"/>
              <w:bottom w:w="60" w:type="dxa"/>
              <w:end w:w="90" w:type="dxa"/>
            </w:tcMar>
          </w:tcPr>
          <w:p>
            <w:pPr>
              <w:keepLines/>
              <w:spacing w:after="0"/>
            </w:pPr>
            <w:r/>
            <w:r>
              <w:rPr>
                <w:rFonts w:ascii="Times New Roman" w:hAnsi="Times New Roman"/>
                <w:sz w:val="17"/>
              </w:rPr>
              <w:t>23.07.2026, 10:42 Uhr</w:t>
            </w:r>
          </w:p>
        </w:tc>
        <w:tc>
          <w:tcPr>
            <w:tcW w:type="dxa" w:w="2531"/>
            <w:vAlign w:val="top"/>
            <w:tcMar>
              <w:top w:w="60" w:type="dxa"/>
              <w:start w:w="90" w:type="dxa"/>
              <w:bottom w:w="60" w:type="dxa"/>
              <w:end w:w="90" w:type="dxa"/>
            </w:tcMar>
          </w:tcPr>
          <w:p>
            <w:pPr>
              <w:keepLines/>
              <w:spacing w:after="0"/>
            </w:pPr>
            <w:r/>
            <w:r>
              <w:rPr>
                <w:rFonts w:ascii="Times New Roman" w:hAnsi="Times New Roman"/>
                <w:sz w:val="17"/>
              </w:rPr>
              <w:t>alte Bewertungsbögen nur lesbar</w:t>
            </w:r>
          </w:p>
        </w:tc>
        <w:tc>
          <w:tcPr>
            <w:tcW w:type="dxa" w:w="2209"/>
            <w:vAlign w:val="top"/>
            <w:tcMar>
              <w:top w:w="60" w:type="dxa"/>
              <w:start w:w="90" w:type="dxa"/>
              <w:bottom w:w="60" w:type="dxa"/>
              <w:end w:w="90" w:type="dxa"/>
            </w:tcMar>
          </w:tcPr>
          <w:p>
            <w:pPr>
              <w:keepLines/>
              <w:spacing w:after="0"/>
            </w:pPr>
            <w:r/>
            <w:r>
              <w:rPr>
                <w:rFonts w:ascii="Times New Roman" w:hAnsi="Times New Roman"/>
                <w:sz w:val="17"/>
              </w:rPr>
              <w:t>VMS-Ticket 8821</w:t>
            </w:r>
          </w:p>
        </w:tc>
      </w:tr>
      <w:tr>
        <w:trPr>
          <w:cantSplit/>
        </w:trPr>
        <w:tc>
          <w:tcPr>
            <w:tcW w:type="dxa" w:w="2448"/>
            <w:vAlign w:val="top"/>
            <w:tcMar>
              <w:top w:w="60" w:type="dxa"/>
              <w:start w:w="90" w:type="dxa"/>
              <w:bottom w:w="60" w:type="dxa"/>
              <w:end w:w="90" w:type="dxa"/>
            </w:tcMar>
            <w:shd w:fill="F1F3F3"/>
          </w:tcPr>
          <w:p>
            <w:pPr>
              <w:keepLines/>
              <w:spacing w:after="0"/>
            </w:pPr>
            <w:r/>
            <w:r>
              <w:rPr>
                <w:rFonts w:ascii="Times New Roman" w:hAnsi="Times New Roman"/>
                <w:sz w:val="17"/>
              </w:rPr>
              <w:t>Version 04 rückgelesen</w:t>
            </w:r>
          </w:p>
        </w:tc>
        <w:tc>
          <w:tcPr>
            <w:tcW w:type="dxa" w:w="1883"/>
            <w:vAlign w:val="top"/>
            <w:tcMar>
              <w:top w:w="60" w:type="dxa"/>
              <w:start w:w="90" w:type="dxa"/>
              <w:bottom w:w="60" w:type="dxa"/>
              <w:end w:w="90" w:type="dxa"/>
            </w:tcMar>
            <w:shd w:fill="F1F3F3"/>
          </w:tcPr>
          <w:p>
            <w:pPr>
              <w:keepLines/>
              <w:spacing w:after="0"/>
            </w:pPr>
            <w:r/>
            <w:r>
              <w:rPr>
                <w:rFonts w:ascii="Times New Roman" w:hAnsi="Times New Roman"/>
                <w:sz w:val="17"/>
              </w:rPr>
              <w:t>23.07.2026, 14:08 Uhr</w:t>
            </w:r>
          </w:p>
        </w:tc>
        <w:tc>
          <w:tcPr>
            <w:tcW w:type="dxa" w:w="2531"/>
            <w:vAlign w:val="top"/>
            <w:tcMar>
              <w:top w:w="60" w:type="dxa"/>
              <w:start w:w="90" w:type="dxa"/>
              <w:bottom w:w="60" w:type="dxa"/>
              <w:end w:w="90" w:type="dxa"/>
            </w:tcMar>
            <w:shd w:fill="F1F3F3"/>
          </w:tcPr>
          <w:p>
            <w:pPr>
              <w:keepLines/>
              <w:spacing w:after="0"/>
            </w:pPr>
            <w:r/>
            <w:r>
              <w:rPr>
                <w:rFonts w:ascii="Times New Roman" w:hAnsi="Times New Roman"/>
                <w:sz w:val="17"/>
              </w:rPr>
              <w:t>X83 und PDF positionsgleich</w:t>
            </w:r>
          </w:p>
        </w:tc>
        <w:tc>
          <w:tcPr>
            <w:tcW w:type="dxa" w:w="2209"/>
            <w:vAlign w:val="top"/>
            <w:tcMar>
              <w:top w:w="60" w:type="dxa"/>
              <w:start w:w="90" w:type="dxa"/>
              <w:bottom w:w="60" w:type="dxa"/>
              <w:end w:w="90" w:type="dxa"/>
            </w:tcMar>
            <w:shd w:fill="F1F3F3"/>
          </w:tcPr>
          <w:p>
            <w:pPr>
              <w:keepLines/>
              <w:spacing w:after="0"/>
            </w:pPr>
            <w:r/>
            <w:r>
              <w:rPr>
                <w:rFonts w:ascii="Times New Roman" w:hAnsi="Times New Roman"/>
                <w:sz w:val="17"/>
              </w:rPr>
              <w:t>Prüfbericht AVA-04</w:t>
            </w:r>
          </w:p>
        </w:tc>
      </w:tr>
      <w:tr>
        <w:trPr>
          <w:cantSplit/>
        </w:trPr>
        <w:tc>
          <w:tcPr>
            <w:tcW w:type="dxa" w:w="2448"/>
            <w:vAlign w:val="top"/>
            <w:tcMar>
              <w:top w:w="60" w:type="dxa"/>
              <w:start w:w="90" w:type="dxa"/>
              <w:bottom w:w="60" w:type="dxa"/>
              <w:end w:w="90" w:type="dxa"/>
            </w:tcMar>
          </w:tcPr>
          <w:p>
            <w:pPr>
              <w:keepLines/>
              <w:spacing w:after="0"/>
            </w:pPr>
            <w:r/>
            <w:r>
              <w:rPr>
                <w:rFonts w:ascii="Times New Roman" w:hAnsi="Times New Roman"/>
                <w:sz w:val="17"/>
              </w:rPr>
              <w:t>neue Angebotsphase angelegt</w:t>
            </w:r>
          </w:p>
        </w:tc>
        <w:tc>
          <w:tcPr>
            <w:tcW w:type="dxa" w:w="1883"/>
            <w:vAlign w:val="top"/>
            <w:tcMar>
              <w:top w:w="60" w:type="dxa"/>
              <w:start w:w="90" w:type="dxa"/>
              <w:bottom w:w="60" w:type="dxa"/>
              <w:end w:w="90" w:type="dxa"/>
            </w:tcMar>
          </w:tcPr>
          <w:p>
            <w:pPr>
              <w:keepLines/>
              <w:spacing w:after="0"/>
            </w:pPr>
            <w:r/>
            <w:r>
              <w:rPr>
                <w:rFonts w:ascii="Times New Roman" w:hAnsi="Times New Roman"/>
                <w:sz w:val="17"/>
              </w:rPr>
              <w:t>23.07.2026, 15:22 Uhr</w:t>
            </w:r>
          </w:p>
        </w:tc>
        <w:tc>
          <w:tcPr>
            <w:tcW w:type="dxa" w:w="2531"/>
            <w:vAlign w:val="top"/>
            <w:tcMar>
              <w:top w:w="60" w:type="dxa"/>
              <w:start w:w="90" w:type="dxa"/>
              <w:bottom w:w="60" w:type="dxa"/>
              <w:end w:w="90" w:type="dxa"/>
            </w:tcMar>
          </w:tcPr>
          <w:p>
            <w:pPr>
              <w:keepLines/>
              <w:spacing w:after="0"/>
            </w:pPr>
            <w:r/>
            <w:r>
              <w:rPr>
                <w:rFonts w:ascii="Times New Roman" w:hAnsi="Times New Roman"/>
                <w:sz w:val="17"/>
              </w:rPr>
              <w:t>Fristen und Rollen bestätigt</w:t>
            </w:r>
          </w:p>
        </w:tc>
        <w:tc>
          <w:tcPr>
            <w:tcW w:type="dxa" w:w="2209"/>
            <w:vAlign w:val="top"/>
            <w:tcMar>
              <w:top w:w="60" w:type="dxa"/>
              <w:start w:w="90" w:type="dxa"/>
              <w:bottom w:w="60" w:type="dxa"/>
              <w:end w:w="90" w:type="dxa"/>
            </w:tcMar>
          </w:tcPr>
          <w:p>
            <w:pPr>
              <w:keepLines/>
              <w:spacing w:after="0"/>
            </w:pPr>
            <w:r/>
            <w:r>
              <w:rPr>
                <w:rFonts w:ascii="Times New Roman" w:hAnsi="Times New Roman"/>
                <w:sz w:val="17"/>
              </w:rPr>
              <w:t>Vier-Augen-Freigabe</w:t>
            </w:r>
          </w:p>
        </w:tc>
      </w:tr>
    </w:tbl>
    <w:p>
      <w:pPr>
        <w:spacing w:after="0" w:before="40"/>
      </w:pPr>
    </w:p>
    <w:p>
      <w:pPr>
        <w:keepNext/>
        <w:keepLines/>
      </w:pPr>
      <w:r>
        <w:t>Die bisherigen Angebote werden nicht gelöscht, sondern beweissicher und ohne Zugriff der Wertungsgruppe archiviert. Das Öffnungsprotokoll der neuen Angebotsphase weist ausschließlich die nach der Berichtigung eingegangenen Dateien aus.</w:t>
      </w:r>
    </w:p>
    <w:p>
      <w:pPr>
        <w:keepLines/>
      </w:pPr>
      <w:r>
        <w:t>Stadt Musterstadt Zentrale Vergabestelle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HB-STH-2026-019</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Zentrale Vergabestelle</w:t>
      <w:t xml:space="preserve">  |  HB-STH-2026-019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Umsetzung des Beschlusses VK ML 7-19/26</dc:title>
  <dc:subject>Umsetzungs- und Rückversetzungsvermerk | Az. HB-STH-2026-019</dc:subject>
  <dc:creator>Stadt Musterstadt - Zentrale Vergabestelle</dc:creator>
  <cp:keywords>Vergaberecht, HB-STH-2026-019, Umsetzungs- und Rückversetzungsvermerk</cp:keywords>
  <dc:description>generated by python-docx</dc:description>
  <cp:lastModifiedBy>Stadt Musterstadt - Zentrale Vergabestelle</cp:lastModifiedBy>
  <cp:revision>1</cp:revision>
  <dcterms:created xsi:type="dcterms:W3CDTF">2000-01-01T00:00:00Z</dcterms:created>
  <dcterms:modified xsi:type="dcterms:W3CDTF">2000-01-01T00:00:00Z</dcterms:modified>
  <cp:category>Vergabeakte</cp:category>
</cp:coreProperties>
</file>