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Beratung Mustertal GmbH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Campusstraße 9, 88770 Mustertal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06.08.2026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BM-2026-CYBER-005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Interner Rechtsmittel- und Kostenvermerk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Beratung Mustertal GmbH · Campusstraße 9, 88770 Mustertal</w:t>
      </w:r>
    </w:p>
    <w:p>
      <w:pPr>
        <w:spacing w:after="240"/>
      </w:pPr>
      <w:r>
        <w:t>Interne Prozessakte BM-2026-CYBER-005</w:t>
      </w:r>
    </w:p>
    <w:p>
      <w:pPr>
        <w:pStyle w:val="Title"/>
      </w:pPr>
      <w:r>
        <w:t>Rechtsmittelvorsorge vor der Entscheidung der Vergabekammer</w:t>
      </w:r>
    </w:p>
    <w:p>
      <w:pPr>
        <w:pStyle w:val="Heading1"/>
      </w:pPr>
      <w:r>
        <w:t>1. Anlass</w:t>
      </w:r>
    </w:p>
    <w:p>
      <w:r>
        <w:t>Die mündliche Verhandlung vor der Vergabekammer ist abgeschlossen; eine Entscheidung ist noch nicht zugestellt. Die Geschäftsführung benötigt vorab eine belastbare Entscheidungsgrundlage für den Fall einer vollständigen oder teilweisen Zurückweisung.</w:t>
      </w:r>
    </w:p>
    <w:p>
      <w:pPr>
        <w:pStyle w:val="Heading1"/>
      </w:pPr>
      <w:r>
        <w:t>2. Rechtsmittelziele nach Entscheidungsausgang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860"/>
        <w:gridCol w:w="3243"/>
        <w:gridCol w:w="2968"/>
      </w:tblGrid>
      <w:tr>
        <w:trPr>
          <w:tblHeader w:val="true"/>
          <w:cantSplit/>
        </w:trPr>
        <w:tc>
          <w:tcPr>
            <w:tcW w:type="dxa" w:w="28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Entscheidung der Vergabekammer</w:t>
            </w:r>
          </w:p>
        </w:tc>
        <w:tc>
          <w:tcPr>
            <w:tcW w:type="dxa" w:w="32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möglicher Rechtsmittelangriff</w:t>
            </w:r>
          </w:p>
        </w:tc>
        <w:tc>
          <w:tcPr>
            <w:tcW w:type="dxa" w:w="29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wirtschaftliches Ziel</w:t>
            </w:r>
          </w:p>
        </w:tc>
      </w:tr>
      <w:tr>
        <w:trPr>
          <w:cantSplit/>
        </w:trPr>
        <w:tc>
          <w:tcPr>
            <w:tcW w:type="dxa" w:w="28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vollständige Zurückweisung</w:t>
            </w:r>
          </w:p>
        </w:tc>
        <w:tc>
          <w:tcPr>
            <w:tcW w:type="dxa" w:w="32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Aufhebung und diskriminierungsfreie Neufassung</w:t>
            </w:r>
          </w:p>
        </w:tc>
        <w:tc>
          <w:tcPr>
            <w:tcW w:type="dxa" w:w="29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Zugang zur Angebotsphase</w:t>
            </w:r>
          </w:p>
        </w:tc>
      </w:tr>
      <w:tr>
        <w:trPr>
          <w:cantSplit/>
        </w:trPr>
        <w:tc>
          <w:tcPr>
            <w:tcW w:type="dxa" w:w="28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nur Streichung der Sitzwertung</w:t>
            </w:r>
          </w:p>
        </w:tc>
        <w:tc>
          <w:tcPr>
            <w:tcW w:type="dxa" w:w="32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regelmäßig kein eigener Angriff</w:t>
            </w:r>
          </w:p>
        </w:tc>
        <w:tc>
          <w:tcPr>
            <w:tcW w:type="dxa" w:w="29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schnelle Fortsetzung</w:t>
            </w:r>
          </w:p>
        </w:tc>
      </w:tr>
      <w:tr>
        <w:trPr>
          <w:cantSplit/>
        </w:trPr>
        <w:tc>
          <w:tcPr>
            <w:tcW w:type="dxa" w:w="28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Ersatz durch ebenfalls regionales Kriterium</w:t>
            </w:r>
          </w:p>
        </w:tc>
        <w:tc>
          <w:tcPr>
            <w:tcW w:type="dxa" w:w="32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Angriff auf verdeckte Standortwirkung</w:t>
            </w:r>
          </w:p>
        </w:tc>
        <w:tc>
          <w:tcPr>
            <w:tcW w:type="dxa" w:w="29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funktionale Reaktionsanforderung</w:t>
            </w:r>
          </w:p>
        </w:tc>
      </w:tr>
      <w:tr>
        <w:trPr>
          <w:cantSplit/>
        </w:trPr>
        <w:tc>
          <w:tcPr>
            <w:tcW w:type="dxa" w:w="28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Rückversetzung ohne ausreichende Frist</w:t>
            </w:r>
          </w:p>
        </w:tc>
        <w:tc>
          <w:tcPr>
            <w:tcW w:type="dxa" w:w="32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Teilbeschwerde zur effektiven Teilnahme</w:t>
            </w:r>
          </w:p>
        </w:tc>
        <w:tc>
          <w:tcPr>
            <w:tcW w:type="dxa" w:w="296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mindestens vollständige Neubearbeitung</w:t>
            </w:r>
          </w:p>
        </w:tc>
      </w:tr>
    </w:tbl>
    <w:p>
      <w:pPr>
        <w:spacing w:after="0" w:before="40"/>
      </w:pPr>
    </w:p>
    <w:p>
      <w:pPr>
        <w:pStyle w:val="Heading1"/>
      </w:pPr>
      <w:r>
        <w:t>3. Tragende Argumente</w:t>
      </w:r>
    </w:p>
    <w:p>
      <w:pPr>
        <w:pStyle w:val="ListNumber"/>
      </w:pPr>
      <w:r>
        <w:t>Die Entfernung des Unternehmenssitzes misst weder die tatsächliche Eintreffzeit des vorgesehenen Teams noch die Belastbarkeit von Rufbereitschaft und Vertretung.</w:t>
      </w:r>
    </w:p>
    <w:p>
      <w:pPr>
        <w:pStyle w:val="ListNumber"/>
      </w:pPr>
      <w:r>
        <w:t>Eine funktionale Reaktionsanforderung kann mit Einsatzplan, Bereitschaft, Reisezeitmodell und Ersatzpersonal auftragsbezogen nachgewiesen werden.</w:t>
      </w:r>
    </w:p>
    <w:p>
      <w:pPr>
        <w:pStyle w:val="ListNumber"/>
      </w:pPr>
      <w:r>
        <w:t>Ein Regionalbonus ist nur dann vertretbar, wenn er nicht an den bestehenden Sitz anknüpft, allen Bewerbern offensteht und zur Leistung in einem angemessenen Verhältnis steht.</w:t>
      </w:r>
    </w:p>
    <w:p>
      <w:pPr>
        <w:pStyle w:val="ListNumber"/>
        <w:keepNext/>
        <w:keepLines/>
      </w:pPr>
      <w:r>
        <w:t>Die Bietergemeinschaft hat konkrete Vor-Ort-Prozesse angeboten; deren Tatsachengrundlage ist von einer pauschalen Sitzvermutung zu trennen.</w:t>
      </w:r>
    </w:p>
    <w:p>
      <w:pPr>
        <w:pStyle w:val="Heading1"/>
        <w:keepNext/>
        <w:keepLines/>
      </w:pPr>
      <w:r>
        <w:t>4. Frist und Freigabe</w:t>
      </w:r>
    </w:p>
    <w:p>
      <w:pPr>
        <w:keepNext/>
        <w:keepLines/>
      </w:pPr>
      <w:r>
        <w:t>Die sofortige Beschwerde ist innerhalb der gesetzlichen Zwei-Wochen-Frist einzulegen und zugleich zu begründen. Fristbeginn, Zustellungsnachweis, anwendbare Fassung des GWB und Vertretungsbefugnis werden am Tag des Beschlusseingangs in einem gesonderten Fristenblatt festgehalten.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3498"/>
        <w:gridCol w:w="2930"/>
        <w:gridCol w:w="2643"/>
      </w:tblGrid>
      <w:tr>
        <w:trPr>
          <w:tblHeader w:val="true"/>
          <w:cantSplit/>
        </w:trPr>
        <w:tc>
          <w:tcPr>
            <w:tcW w:type="dxa" w:w="34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293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interner Korridor netto</w:t>
            </w:r>
          </w:p>
        </w:tc>
        <w:tc>
          <w:tcPr>
            <w:tcW w:type="dxa" w:w="26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Freigabe</w:t>
            </w:r>
          </w:p>
        </w:tc>
      </w:tr>
      <w:tr>
        <w:trPr>
          <w:cantSplit/>
        </w:trPr>
        <w:tc>
          <w:tcPr>
            <w:tcW w:type="dxa" w:w="34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Beschwerdebegründung und Termin</w:t>
            </w:r>
          </w:p>
        </w:tc>
        <w:tc>
          <w:tcPr>
            <w:tcW w:type="dxa" w:w="293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18.000 bis 30.000 EUR</w:t>
            </w:r>
          </w:p>
        </w:tc>
        <w:tc>
          <w:tcPr>
            <w:tcW w:type="dxa" w:w="26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Geschäftsführung</w:t>
            </w:r>
          </w:p>
        </w:tc>
      </w:tr>
      <w:tr>
        <w:trPr>
          <w:cantSplit/>
        </w:trPr>
        <w:tc>
          <w:tcPr>
            <w:tcW w:type="dxa" w:w="34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technische Reisezeitbewertung</w:t>
            </w:r>
          </w:p>
        </w:tc>
        <w:tc>
          <w:tcPr>
            <w:tcW w:type="dxa" w:w="293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4.000 bis 7.500 EUR</w:t>
            </w:r>
          </w:p>
        </w:tc>
        <w:tc>
          <w:tcPr>
            <w:tcW w:type="dxa" w:w="26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Projektleitung</w:t>
            </w:r>
          </w:p>
        </w:tc>
      </w:tr>
      <w:tr>
        <w:trPr>
          <w:cantSplit/>
        </w:trPr>
        <w:tc>
          <w:tcPr>
            <w:tcW w:type="dxa" w:w="34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möglicher Vergleichstermin</w:t>
            </w:r>
          </w:p>
        </w:tc>
        <w:tc>
          <w:tcPr>
            <w:tcW w:type="dxa" w:w="293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3.000 bis 6.000 EUR</w:t>
            </w:r>
          </w:p>
        </w:tc>
        <w:tc>
          <w:tcPr>
            <w:tcW w:type="dxa" w:w="26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Geschäftsführung</w:t>
            </w:r>
          </w:p>
        </w:tc>
      </w:tr>
      <w:tr>
        <w:trPr>
          <w:cantSplit/>
        </w:trPr>
        <w:tc>
          <w:tcPr>
            <w:tcW w:type="dxa" w:w="34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gegnerische Kosten</w:t>
            </w:r>
          </w:p>
        </w:tc>
        <w:tc>
          <w:tcPr>
            <w:tcW w:type="dxa" w:w="293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nach Streitwert und Ausgang</w:t>
            </w:r>
          </w:p>
        </w:tc>
        <w:tc>
          <w:tcPr>
            <w:tcW w:type="dxa" w:w="264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Rechtsabteilung</w:t>
            </w:r>
          </w:p>
        </w:tc>
      </w:tr>
    </w:tbl>
    <w:p>
      <w:pPr>
        <w:spacing w:after="0" w:before="40"/>
      </w:pPr>
    </w:p>
    <w:p>
      <w:pPr>
        <w:keepNext/>
        <w:keepLines/>
      </w:pPr>
      <w:r>
        <w:t>Vor Einlegung ist zu prüfen, ob die Entscheidung bereits eine diskriminierungsfreie Teilnahme ermöglicht oder ein gerichtlicher Vergleich den Zugang schneller und kostenschonender sichert.</w:t>
      </w:r>
    </w:p>
    <w:p>
      <w:pPr>
        <w:pStyle w:val="Heading1"/>
        <w:keepNext/>
        <w:keepLines/>
      </w:pPr>
      <w:r>
        <w:t>5. Entscheidungsblatt am Zustellungstag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405"/>
        <w:gridCol w:w="2496"/>
        <w:gridCol w:w="2003"/>
        <w:gridCol w:w="2167"/>
      </w:tblGrid>
      <w:tr>
        <w:trPr>
          <w:tblHeader w:val="true"/>
          <w:cantSplit/>
        </w:trPr>
        <w:tc>
          <w:tcPr>
            <w:tcW w:type="dxa" w:w="240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Prüfschritt</w:t>
            </w:r>
          </w:p>
        </w:tc>
        <w:tc>
          <w:tcPr>
            <w:tcW w:type="dxa" w:w="24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Verantwortlich</w:t>
            </w:r>
          </w:p>
        </w:tc>
        <w:tc>
          <w:tcPr>
            <w:tcW w:type="dxa" w:w="200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Frist</w:t>
            </w:r>
          </w:p>
        </w:tc>
        <w:tc>
          <w:tcPr>
            <w:tcW w:type="dxa" w:w="21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Abbruchkriterium</w:t>
            </w:r>
          </w:p>
        </w:tc>
      </w:tr>
      <w:tr>
        <w:trPr>
          <w:cantSplit/>
        </w:trPr>
        <w:tc>
          <w:tcPr>
            <w:tcW w:type="dxa" w:w="240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Beschluss und Zustellnachweis sichern</w:t>
            </w:r>
          </w:p>
        </w:tc>
        <w:tc>
          <w:tcPr>
            <w:tcW w:type="dxa" w:w="24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Rechtsabteilung</w:t>
            </w:r>
          </w:p>
        </w:tc>
        <w:tc>
          <w:tcPr>
            <w:tcW w:type="dxa" w:w="200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sofort</w:t>
            </w:r>
          </w:p>
        </w:tc>
        <w:tc>
          <w:tcPr>
            <w:tcW w:type="dxa" w:w="21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unklarer Fristbeginn</w:t>
            </w:r>
          </w:p>
        </w:tc>
      </w:tr>
      <w:tr>
        <w:trPr>
          <w:cantSplit/>
        </w:trPr>
        <w:tc>
          <w:tcPr>
            <w:tcW w:type="dxa" w:w="240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Tenor gegen Rechtsschutzziel spiegeln</w:t>
            </w:r>
          </w:p>
        </w:tc>
        <w:tc>
          <w:tcPr>
            <w:tcW w:type="dxa" w:w="24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Verfahrensbevollmächtigte</w:t>
            </w:r>
          </w:p>
        </w:tc>
        <w:tc>
          <w:tcPr>
            <w:tcW w:type="dxa" w:w="200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vier Stunden</w:t>
            </w:r>
          </w:p>
        </w:tc>
        <w:tc>
          <w:tcPr>
            <w:tcW w:type="dxa" w:w="21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vollständige Teilnahme bereits eröffnet</w:t>
            </w:r>
          </w:p>
        </w:tc>
      </w:tr>
      <w:tr>
        <w:trPr>
          <w:cantSplit/>
        </w:trPr>
        <w:tc>
          <w:tcPr>
            <w:tcW w:type="dxa" w:w="240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Akten- und Beweislücken markieren</w:t>
            </w:r>
          </w:p>
        </w:tc>
        <w:tc>
          <w:tcPr>
            <w:tcW w:type="dxa" w:w="24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Projektleitung</w:t>
            </w:r>
          </w:p>
        </w:tc>
        <w:tc>
          <w:tcPr>
            <w:tcW w:type="dxa" w:w="200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ein Arbeitstag</w:t>
            </w:r>
          </w:p>
        </w:tc>
        <w:tc>
          <w:tcPr>
            <w:tcW w:type="dxa" w:w="21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kein kausaler Nachteil</w:t>
            </w:r>
          </w:p>
        </w:tc>
      </w:tr>
      <w:tr>
        <w:trPr>
          <w:cantSplit/>
        </w:trPr>
        <w:tc>
          <w:tcPr>
            <w:tcW w:type="dxa" w:w="240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Beschwerde- und Vergleichskorridor aktualisieren</w:t>
            </w:r>
          </w:p>
        </w:tc>
        <w:tc>
          <w:tcPr>
            <w:tcW w:type="dxa" w:w="24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Geschäftsführung</w:t>
            </w:r>
          </w:p>
        </w:tc>
        <w:tc>
          <w:tcPr>
            <w:tcW w:type="dxa" w:w="200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zwei Arbeitstage</w:t>
            </w:r>
          </w:p>
        </w:tc>
        <w:tc>
          <w:tcPr>
            <w:tcW w:type="dxa" w:w="21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Kosten über Freigabekorridor</w:t>
            </w:r>
          </w:p>
        </w:tc>
      </w:tr>
      <w:tr>
        <w:trPr>
          <w:cantSplit/>
        </w:trPr>
        <w:tc>
          <w:tcPr>
            <w:tcW w:type="dxa" w:w="240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Einlegung freigeben</w:t>
            </w:r>
          </w:p>
        </w:tc>
        <w:tc>
          <w:tcPr>
            <w:tcW w:type="dxa" w:w="249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Geschäftsführung und Rechtsabteilung</w:t>
            </w:r>
          </w:p>
        </w:tc>
        <w:tc>
          <w:tcPr>
            <w:tcW w:type="dxa" w:w="200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spätestens drei Arbeitstage vor Fristende</w:t>
            </w:r>
          </w:p>
        </w:tc>
        <w:tc>
          <w:tcPr>
            <w:tcW w:type="dxa" w:w="216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keine belastbare Erfolgslinie</w:t>
            </w:r>
          </w:p>
        </w:tc>
      </w:tr>
    </w:tbl>
    <w:p>
      <w:pPr>
        <w:spacing w:after="0" w:before="40"/>
      </w:pPr>
    </w:p>
    <w:p>
      <w:pPr>
        <w:keepLines/>
      </w:pPr>
      <w:r>
        <w:t>Eine Beschwerde wird nur freigegeben, wenn konkreter Antrag, entscheidungserheblicher Fehler, Beweismittel, Zuschlagschance und wirtschaftlicher Nutzen in einer einseitigen Entscheidungsvorlage zusammengeführt sind.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BM-2026-CYBER-005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Beratung Mustertal GmbH</w:t>
      <w:t xml:space="preserve">  |  BM-2026-CYBER-005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Rechtsmittelvorsorge vor der Entscheidung der Vergabekammer</dc:title>
  <dc:subject>Interner Rechtsmittel- und Kostenvermerk | Az. BM-2026-CYBER-005</dc:subject>
  <dc:creator>Beratung Mustertal GmbH</dc:creator>
  <cp:keywords>Vergaberecht, BM-2026-CYBER-005, Interner Rechtsmittel- und Kostenvermerk</cp:keywords>
  <dc:description>generated by python-docx</dc:description>
  <cp:lastModifiedBy>Beratung Mustertal GmbH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