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Schlossgasse 1, 88888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12.08.2026</w:t>
              <w:br/>
            </w:r>
            <w:r>
              <w:rPr>
                <w:rFonts w:ascii="Times New Roman" w:hAnsi="Times New Roman"/>
                <w:color w:val="646464"/>
                <w:sz w:val="18"/>
              </w:rPr>
              <w:t>Aktenzeichen: VK ML 12-31/26</w:t>
              <w:br/>
            </w:r>
            <w:r>
              <w:rPr>
                <w:rFonts w:ascii="Times New Roman" w:hAnsi="Times New Roman"/>
                <w:color w:val="646464"/>
                <w:sz w:val="18"/>
              </w:rPr>
              <w:t>Beschluss der Vergabekammer</w:t>
            </w:r>
          </w:p>
        </w:tc>
      </w:tr>
    </w:tbl>
    <w:p>
      <w:pPr>
        <w:spacing w:before="200" w:after="40"/>
      </w:pPr>
      <w:r>
        <w:rPr>
          <w:rFonts w:ascii="Times New Roman" w:hAnsi="Times New Roman"/>
          <w:color w:val="646464"/>
          <w:sz w:val="15"/>
        </w:rPr>
        <w:t>Vergabekammer des Landes Musterland · Schlossgasse 1, 88888 Musterhausen</w:t>
      </w:r>
    </w:p>
    <w:p>
      <w:pPr>
        <w:spacing w:after="240"/>
      </w:pPr>
      <w:r>
        <w:t>Beteiligte im Verfahren VK ML 12-31/26</w:t>
      </w:r>
    </w:p>
    <w:p>
      <w:pPr>
        <w:pStyle w:val="Title"/>
      </w:pPr>
      <w:r>
        <w:t>Beschluss zum Sitzkriterium im Teilnahmewettbewerb MID-STRAT-2026-07</w:t>
      </w:r>
    </w:p>
    <w:p>
      <w:pPr>
        <w:pStyle w:val="Heading1"/>
      </w:pPr>
      <w:r>
        <w:t>Tenor</w:t>
      </w:r>
    </w:p>
    <w:p>
      <w:pPr>
        <w:pStyle w:val="ListNumber"/>
      </w:pPr>
      <w:r>
        <w:t>Dem Antragsgegner wird untersagt, die Auswahl der zur Angebotsabgabe aufzufordernden Bewerber unter Anwendung des Kriteriums „Unternehmenssitz innerhalb von 200 km Luftlinie“ fortzusetzen.</w:t>
      </w:r>
    </w:p>
    <w:p>
      <w:pPr>
        <w:pStyle w:val="ListNumber"/>
      </w:pPr>
      <w:r>
        <w:t>Bei fortbestehender Beschaffungsabsicht wird der Antragsgegner verpflichtet, den Teilnahmewettbewerb in den Stand vor Ablauf der Teilnahmefrist zurückzuversetzen, das Kriterium auftragsbezogen neu zu fassen und die Teilnahmefrist angemessen zu verlängern.</w:t>
      </w:r>
    </w:p>
    <w:p>
      <w:pPr>
        <w:pStyle w:val="ListNumber"/>
      </w:pPr>
      <w:r>
        <w:t>Soweit die Antragstellerin die ersatzlose Streichung jedes Vor-Ort-Kriteriums beantragt, wird der Antrag zurückgewiesen.</w:t>
      </w:r>
    </w:p>
    <w:p>
      <w:pPr>
        <w:pStyle w:val="ListNumber"/>
      </w:pPr>
      <w:r>
        <w:t>Die Kosten des Verfahrens tragen die Antragstellerin zu einem Fünftel und der Antragsgegner zu vier Fünfteln.</w:t>
      </w:r>
    </w:p>
    <w:p>
      <w:pPr>
        <w:pStyle w:val="Heading1"/>
      </w:pPr>
      <w:r>
        <w:t>Gründe</w:t>
      </w:r>
    </w:p>
    <w:p>
      <w:r>
        <w:t>Die Bekanntmachung wurde am 03.07.2026 veröffentlicht. Die Antragstellerin rügte das für die Bewerberauswahl mit zehn Prozent gewichtete Sitzkriterium am 10.07.2026 und reichte nach Nichtabhilfe fristgerecht den Nachprüfungsantrag ein.</w:t>
      </w:r>
    </w:p>
    <w:p>
      <w:r>
        <w:t>Das Ziel, bei Sicherheitsvorfällen kurzfristig qualifiziertes Personal vor Ort verfügbar zu haben, weist einen Auftragsbezug auf. Die Entfernung des satzungsmäßigen Unternehmenssitzes misst diese Fähigkeit jedoch nur mittelbar. Sie sagt weder aus, wo das vorgesehene Projektteam eingesetzt wird, noch ob Rufbereitschaft, Reiseplanung und Ersatzpersonal die geforderte Reaktionszeit sichern.</w:t>
      </w:r>
    </w:p>
    <w:p>
      <w:pPr>
        <w:keepNext/>
        <w:keepLines/>
      </w:pPr>
      <w:r>
        <w:t>Der EuGH hat in der Rechtssache C-234/03, Contse, örtliche Näheanforderungen am Auftragsbezug, an Gleichbehandlung und an Verhältnismäßigkeit gemessen. Der Auftraggeber darf daher eine erforderliche Reaktionsleistung verlangen, muss aber allen Bewerbern ermöglichen, sie durch eine geeignete Organisation unabhängig vom Unternehmenssitz nachzuweisen.</w:t>
      </w:r>
    </w:p>
    <w:p>
      <w:pPr>
        <w:pStyle w:val="Heading1"/>
        <w:keepNext/>
        <w:keepLines/>
      </w:pPr>
      <w:r>
        <w:t>Maßgaben für das weitere Verfahren</w:t>
      </w:r>
    </w:p>
    <w:tbl>
      <w:tblPr>
        <w:tblStyle w:val="TableGrid"/>
        <w:tblW w:type="dxa" w:w="9070"/>
        <w:jc w:val="left"/>
        <w:tblLayout w:type="fixed"/>
        <w:tblLook w:firstColumn="1" w:firstRow="1" w:lastColumn="0" w:lastRow="0" w:noHBand="0" w:noVBand="1" w:val="04A0"/>
      </w:tblPr>
      <w:tblGrid>
        <w:gridCol w:w="2196"/>
        <w:gridCol w:w="2818"/>
        <w:gridCol w:w="4056"/>
      </w:tblGrid>
      <w:tr>
        <w:trPr>
          <w:tblHeader w:val="true"/>
          <w:cantSplit/>
        </w:trPr>
        <w:tc>
          <w:tcPr>
            <w:tcW w:type="dxa" w:w="2196"/>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Regelungsbereich</w:t>
            </w:r>
          </w:p>
        </w:tc>
        <w:tc>
          <w:tcPr>
            <w:tcW w:type="dxa" w:w="2818"/>
            <w:vAlign w:val="top"/>
            <w:tcMar>
              <w:top w:w="60" w:type="dxa"/>
              <w:start w:w="90" w:type="dxa"/>
              <w:bottom w:w="60" w:type="dxa"/>
              <w:end w:w="90" w:type="dxa"/>
            </w:tcMar>
            <w:shd w:fill="01696F"/>
          </w:tcPr>
          <w:p>
            <w:pPr>
              <w:keepLines/>
              <w:spacing w:after="0"/>
            </w:pPr>
            <w:r/>
            <w:r>
              <w:rPr>
                <w:rFonts w:ascii="Times New Roman" w:hAnsi="Times New Roman"/>
                <w:b/>
                <w:color w:val="FFFFFF"/>
                <w:sz w:val="17"/>
              </w:rPr>
              <w:t>Unzulässige Fassung</w:t>
            </w:r>
          </w:p>
        </w:tc>
        <w:tc>
          <w:tcPr>
            <w:tcW w:type="dxa" w:w="4056"/>
            <w:vAlign w:val="top"/>
            <w:tcMar>
              <w:top w:w="60" w:type="dxa"/>
              <w:start w:w="90" w:type="dxa"/>
              <w:bottom w:w="60" w:type="dxa"/>
              <w:end w:w="90" w:type="dxa"/>
            </w:tcMar>
            <w:shd w:fill="01696F"/>
          </w:tcPr>
          <w:p>
            <w:pPr>
              <w:keepLines/>
              <w:spacing w:after="0"/>
            </w:pPr>
            <w:r/>
            <w:r>
              <w:rPr>
                <w:rFonts w:ascii="Times New Roman" w:hAnsi="Times New Roman"/>
                <w:b/>
                <w:color w:val="FFFFFF"/>
                <w:sz w:val="17"/>
              </w:rPr>
              <w:t>Zulässiger Prüfungsansatz</w:t>
            </w:r>
          </w:p>
        </w:tc>
      </w:tr>
      <w:tr>
        <w:trPr>
          <w:cantSplit/>
        </w:trPr>
        <w:tc>
          <w:tcPr>
            <w:tcW w:type="dxa" w:w="2196"/>
            <w:vAlign w:val="top"/>
            <w:tcMar>
              <w:top w:w="60" w:type="dxa"/>
              <w:start w:w="90" w:type="dxa"/>
              <w:bottom w:w="60" w:type="dxa"/>
              <w:end w:w="90" w:type="dxa"/>
            </w:tcMar>
          </w:tcPr>
          <w:p>
            <w:pPr>
              <w:keepLines/>
              <w:spacing w:after="0"/>
            </w:pPr>
            <w:r/>
            <w:r>
              <w:rPr>
                <w:rFonts w:ascii="Times New Roman" w:hAnsi="Times New Roman"/>
                <w:sz w:val="17"/>
              </w:rPr>
              <w:t>Standort</w:t>
            </w:r>
          </w:p>
        </w:tc>
        <w:tc>
          <w:tcPr>
            <w:tcW w:type="dxa" w:w="2818"/>
            <w:vAlign w:val="top"/>
            <w:tcMar>
              <w:top w:w="60" w:type="dxa"/>
              <w:start w:w="90" w:type="dxa"/>
              <w:bottom w:w="60" w:type="dxa"/>
              <w:end w:w="90" w:type="dxa"/>
            </w:tcMar>
          </w:tcPr>
          <w:p>
            <w:pPr>
              <w:keepLines/>
              <w:spacing w:after="0"/>
            </w:pPr>
            <w:r/>
            <w:r>
              <w:rPr>
                <w:rFonts w:ascii="Times New Roman" w:hAnsi="Times New Roman"/>
                <w:sz w:val="17"/>
              </w:rPr>
              <w:t>Entfernung des Unternehmenssitzes</w:t>
            </w:r>
          </w:p>
        </w:tc>
        <w:tc>
          <w:tcPr>
            <w:tcW w:type="dxa" w:w="4056"/>
            <w:vAlign w:val="top"/>
            <w:tcMar>
              <w:top w:w="60" w:type="dxa"/>
              <w:start w:w="90" w:type="dxa"/>
              <w:bottom w:w="60" w:type="dxa"/>
              <w:end w:w="90" w:type="dxa"/>
            </w:tcMar>
          </w:tcPr>
          <w:p>
            <w:pPr>
              <w:keepLines/>
              <w:spacing w:after="0"/>
            </w:pPr>
            <w:r/>
            <w:r>
              <w:rPr>
                <w:rFonts w:ascii="Times New Roman" w:hAnsi="Times New Roman"/>
                <w:sz w:val="17"/>
              </w:rPr>
              <w:t>verbindliche Mobilisierungs- und Eintreffzeit</w:t>
            </w:r>
          </w:p>
        </w:tc>
      </w:tr>
      <w:tr>
        <w:trPr>
          <w:cantSplit/>
        </w:trPr>
        <w:tc>
          <w:tcPr>
            <w:tcW w:type="dxa" w:w="2196"/>
            <w:vAlign w:val="top"/>
            <w:tcMar>
              <w:top w:w="60" w:type="dxa"/>
              <w:start w:w="90" w:type="dxa"/>
              <w:bottom w:w="60" w:type="dxa"/>
              <w:end w:w="90" w:type="dxa"/>
            </w:tcMar>
            <w:shd w:fill="F1F3F3"/>
          </w:tcPr>
          <w:p>
            <w:pPr>
              <w:keepLines/>
              <w:spacing w:after="0"/>
            </w:pPr>
            <w:r/>
            <w:r>
              <w:rPr>
                <w:rFonts w:ascii="Times New Roman" w:hAnsi="Times New Roman"/>
                <w:sz w:val="17"/>
              </w:rPr>
              <w:t>Personal</w:t>
            </w:r>
          </w:p>
        </w:tc>
        <w:tc>
          <w:tcPr>
            <w:tcW w:type="dxa" w:w="2818"/>
            <w:vAlign w:val="top"/>
            <w:tcMar>
              <w:top w:w="60" w:type="dxa"/>
              <w:start w:w="90" w:type="dxa"/>
              <w:bottom w:w="60" w:type="dxa"/>
              <w:end w:w="90" w:type="dxa"/>
            </w:tcMar>
            <w:shd w:fill="F1F3F3"/>
          </w:tcPr>
          <w:p>
            <w:pPr>
              <w:keepLines/>
              <w:spacing w:after="0"/>
            </w:pPr>
            <w:r/>
            <w:r>
              <w:rPr>
                <w:rFonts w:ascii="Times New Roman" w:hAnsi="Times New Roman"/>
                <w:sz w:val="17"/>
              </w:rPr>
              <w:t>bloße Beschäftigtenzahl am Sitz</w:t>
            </w:r>
          </w:p>
        </w:tc>
        <w:tc>
          <w:tcPr>
            <w:tcW w:type="dxa" w:w="4056"/>
            <w:vAlign w:val="top"/>
            <w:tcMar>
              <w:top w:w="60" w:type="dxa"/>
              <w:start w:w="90" w:type="dxa"/>
              <w:bottom w:w="60" w:type="dxa"/>
              <w:end w:w="90" w:type="dxa"/>
            </w:tcMar>
            <w:shd w:fill="F1F3F3"/>
          </w:tcPr>
          <w:p>
            <w:pPr>
              <w:keepLines/>
              <w:spacing w:after="0"/>
            </w:pPr>
            <w:r/>
            <w:r>
              <w:rPr>
                <w:rFonts w:ascii="Times New Roman" w:hAnsi="Times New Roman"/>
                <w:sz w:val="17"/>
              </w:rPr>
              <w:t>benanntes Einsatzteam und Vertretungsplan</w:t>
            </w:r>
          </w:p>
        </w:tc>
      </w:tr>
      <w:tr>
        <w:trPr>
          <w:cantSplit/>
        </w:trPr>
        <w:tc>
          <w:tcPr>
            <w:tcW w:type="dxa" w:w="2196"/>
            <w:vAlign w:val="top"/>
            <w:tcMar>
              <w:top w:w="60" w:type="dxa"/>
              <w:start w:w="90" w:type="dxa"/>
              <w:bottom w:w="60" w:type="dxa"/>
              <w:end w:w="90" w:type="dxa"/>
            </w:tcMar>
          </w:tcPr>
          <w:p>
            <w:pPr>
              <w:keepLines/>
              <w:spacing w:after="0"/>
            </w:pPr>
            <w:r/>
            <w:r>
              <w:rPr>
                <w:rFonts w:ascii="Times New Roman" w:hAnsi="Times New Roman"/>
                <w:sz w:val="17"/>
              </w:rPr>
              <w:t>Nachweis</w:t>
            </w:r>
          </w:p>
        </w:tc>
        <w:tc>
          <w:tcPr>
            <w:tcW w:type="dxa" w:w="2818"/>
            <w:vAlign w:val="top"/>
            <w:tcMar>
              <w:top w:w="60" w:type="dxa"/>
              <w:start w:w="90" w:type="dxa"/>
              <w:bottom w:w="60" w:type="dxa"/>
              <w:end w:w="90" w:type="dxa"/>
            </w:tcMar>
          </w:tcPr>
          <w:p>
            <w:pPr>
              <w:keepLines/>
              <w:spacing w:after="0"/>
            </w:pPr>
            <w:r/>
            <w:r>
              <w:rPr>
                <w:rFonts w:ascii="Times New Roman" w:hAnsi="Times New Roman"/>
                <w:sz w:val="17"/>
              </w:rPr>
              <w:t>Eigenerklärung ohne Prüfkriterium</w:t>
            </w:r>
          </w:p>
        </w:tc>
        <w:tc>
          <w:tcPr>
            <w:tcW w:type="dxa" w:w="4056"/>
            <w:vAlign w:val="top"/>
            <w:tcMar>
              <w:top w:w="60" w:type="dxa"/>
              <w:start w:w="90" w:type="dxa"/>
              <w:bottom w:w="60" w:type="dxa"/>
              <w:end w:w="90" w:type="dxa"/>
            </w:tcMar>
          </w:tcPr>
          <w:p>
            <w:pPr>
              <w:keepLines/>
              <w:spacing w:after="0"/>
            </w:pPr>
            <w:r/>
            <w:r>
              <w:rPr>
                <w:rFonts w:ascii="Times New Roman" w:hAnsi="Times New Roman"/>
                <w:sz w:val="17"/>
              </w:rPr>
              <w:t>Einsatzplan, Bereitschaftsmodell, Referenztest</w:t>
            </w:r>
          </w:p>
        </w:tc>
      </w:tr>
      <w:tr>
        <w:trPr>
          <w:cantSplit/>
        </w:trPr>
        <w:tc>
          <w:tcPr>
            <w:tcW w:type="dxa" w:w="2196"/>
            <w:vAlign w:val="top"/>
            <w:tcMar>
              <w:top w:w="60" w:type="dxa"/>
              <w:start w:w="90" w:type="dxa"/>
              <w:bottom w:w="60" w:type="dxa"/>
              <w:end w:w="90" w:type="dxa"/>
            </w:tcMar>
            <w:shd w:fill="F1F3F3"/>
          </w:tcPr>
          <w:p>
            <w:pPr>
              <w:keepLines/>
              <w:spacing w:after="0"/>
            </w:pPr>
            <w:r/>
            <w:r>
              <w:rPr>
                <w:rFonts w:ascii="Times New Roman" w:hAnsi="Times New Roman"/>
                <w:sz w:val="17"/>
              </w:rPr>
              <w:t>Wertung</w:t>
            </w:r>
          </w:p>
        </w:tc>
        <w:tc>
          <w:tcPr>
            <w:tcW w:type="dxa" w:w="2818"/>
            <w:vAlign w:val="top"/>
            <w:tcMar>
              <w:top w:w="60" w:type="dxa"/>
              <w:start w:w="90" w:type="dxa"/>
              <w:bottom w:w="60" w:type="dxa"/>
              <w:end w:w="90" w:type="dxa"/>
            </w:tcMar>
            <w:shd w:fill="F1F3F3"/>
          </w:tcPr>
          <w:p>
            <w:pPr>
              <w:keepLines/>
              <w:spacing w:after="0"/>
            </w:pPr>
            <w:r/>
            <w:r>
              <w:rPr>
                <w:rFonts w:ascii="Times New Roman" w:hAnsi="Times New Roman"/>
                <w:sz w:val="17"/>
              </w:rPr>
              <w:t>Punkte allein nach Kilometern</w:t>
            </w:r>
          </w:p>
        </w:tc>
        <w:tc>
          <w:tcPr>
            <w:tcW w:type="dxa" w:w="4056"/>
            <w:vAlign w:val="top"/>
            <w:tcMar>
              <w:top w:w="60" w:type="dxa"/>
              <w:start w:w="90" w:type="dxa"/>
              <w:bottom w:w="60" w:type="dxa"/>
              <w:end w:w="90" w:type="dxa"/>
            </w:tcMar>
            <w:shd w:fill="F1F3F3"/>
          </w:tcPr>
          <w:p>
            <w:pPr>
              <w:keepLines/>
              <w:spacing w:after="0"/>
            </w:pPr>
            <w:r/>
            <w:r>
              <w:rPr>
                <w:rFonts w:ascii="Times New Roman" w:hAnsi="Times New Roman"/>
                <w:sz w:val="17"/>
              </w:rPr>
              <w:t>Punkte nach messbarer Reaktions- und Wiederherstellungsleistung</w:t>
            </w:r>
          </w:p>
        </w:tc>
      </w:tr>
    </w:tbl>
    <w:p>
      <w:pPr>
        <w:spacing w:after="0" w:before="40"/>
      </w:pPr>
    </w:p>
    <w:p>
      <w:pPr>
        <w:keepNext/>
        <w:keepLines/>
      </w:pPr>
      <w:r>
        <w:t>Der Auftraggeber darf eine sachlich erforderliche maximale Eintreffzeit als Mindestanforderung festlegen und bessere, tatsächlich nutzbare Reaktionszeiten werten. Doppelbewertungen zwischen Eignung und Zuschlag sind durch eine eindeutige Zuordnung zu vermeiden.</w:t>
      </w:r>
    </w:p>
    <w:p>
      <w:pPr>
        <w:pStyle w:val="Heading1"/>
        <w:keepNext/>
        <w:keepLines/>
      </w:pPr>
      <w:r>
        <w:t>Rechtsbehelfsbelehrung</w:t>
      </w:r>
    </w:p>
    <w:p>
      <w:pPr>
        <w:keepLines/>
      </w:pPr>
      <w:r>
        <w:t>Die sofortige Beschwerde ist binnen einer Notfrist von zwei Wochen nach Zustellung schriftlich beim zuständigen Oberlandesgericht einzulegen und zugleich zu begründen. Wegen des Verfahrensbeginns nach dem 30.06.2026 gelten die §§ 172 und 173 GWB in der nach § 187 Abs. 2 GWB maßgeblichen neuen Fassung.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12-31/26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12-31/26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Beschluss zum Sitzkriterium im Teilnahmewettbewerb MID-STRAT-2026-07</dc:title>
  <dc:subject>Beschluss der Vergabekammer | Az. VK ML 12-31/26</dc:subject>
  <dc:creator>Vergabekammer des Landes Musterland</dc:creator>
  <cp:keywords>Vergaberecht, VK ML 12-31/26, Beschluss der Vergabekammer</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