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Beratung Mustertal GmbH und Beratung Norddeutschland GmbH als Bietergemeinschaft</w:t>
            </w:r>
          </w:p>
          <w:p>
            <w:pPr>
              <w:spacing w:after="0"/>
            </w:pPr>
            <w:r>
              <w:rPr>
                <w:color w:val="646464"/>
                <w:sz w:val="18"/>
              </w:rPr>
              <w:t>Campusstraße 9, 88770 Mustertal</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20.08.2026</w:t>
              <w:br/>
            </w:r>
            <w:r>
              <w:rPr>
                <w:rFonts w:ascii="Times New Roman" w:hAnsi="Times New Roman"/>
                <w:color w:val="646464"/>
                <w:sz w:val="18"/>
              </w:rPr>
              <w:t>Aktenzeichen: BM-2026-CYBER-005</w:t>
              <w:br/>
            </w:r>
            <w:r>
              <w:rPr>
                <w:rFonts w:ascii="Times New Roman" w:hAnsi="Times New Roman"/>
                <w:color w:val="646464"/>
                <w:sz w:val="18"/>
              </w:rPr>
              <w:t>Sofortige Beschwerde</w:t>
            </w:r>
          </w:p>
        </w:tc>
      </w:tr>
    </w:tbl>
    <w:p>
      <w:pPr>
        <w:spacing w:before="200" w:after="40"/>
      </w:pPr>
      <w:r>
        <w:rPr>
          <w:rFonts w:ascii="Times New Roman" w:hAnsi="Times New Roman"/>
          <w:color w:val="646464"/>
          <w:sz w:val="15"/>
        </w:rPr>
        <w:t>Beratung Mustertal GmbH und Beratung Norddeutschland GmbH als Bietergemeinschaft · Campusstraße 9, 88770 Mustertal</w:t>
      </w:r>
    </w:p>
    <w:p>
      <w:pPr>
        <w:spacing w:after="240"/>
      </w:pPr>
      <w:r>
        <w:t>Oberlandesgericht Musterstadt - Vergabesenat</w:t>
      </w:r>
    </w:p>
    <w:p>
      <w:pPr>
        <w:pStyle w:val="Title"/>
      </w:pPr>
      <w:r>
        <w:t>Sofortige Beschwerde gegen den Beschluss VK ML 12-31/26</w:t>
      </w:r>
    </w:p>
    <w:p>
      <w:pPr>
        <w:pStyle w:val="Heading1"/>
      </w:pPr>
      <w:r>
        <w:t>Anfechtungsumfang und Anträge</w:t>
      </w:r>
    </w:p>
    <w:p>
      <w:r>
        <w:t>Die Antragstellerin greift den am 14.08.2026 zugestellten Beschluss nur an, soweit die Vergabekammer den Antrag auf ersatzlose Streichung eines Vor-Ort-Auswahlkriteriums zurückgewiesen und ihr Kosten auferlegt hat.</w:t>
      </w:r>
    </w:p>
    <w:p>
      <w:r>
        <w:t>Sie beantragt,</w:t>
      </w:r>
    </w:p>
    <w:p>
      <w:pPr>
        <w:pStyle w:val="ListNumber"/>
      </w:pPr>
      <w:r>
        <w:t>Nummer 3 des Tenors aufzuheben und dem Antragsgegner aufzugeben, bei der Bewerberauswahl weder Unternehmenssitz noch eine vor Zuschlag vorzuhaltende örtliche Betriebsstätte zu bewerten;</w:t>
      </w:r>
    </w:p>
    <w:p>
      <w:pPr>
        <w:pStyle w:val="ListNumber"/>
      </w:pPr>
      <w:r>
        <w:t>hilfsweise klarzustellen, dass nur die mit dem vorgesehenen Projektteam verbindlich angebotene Reaktionsleistung und nicht dessen gegenwärtiger Aufenthaltsort bewertet werden darf;</w:t>
      </w:r>
    </w:p>
    <w:p>
      <w:pPr>
        <w:pStyle w:val="ListNumber"/>
      </w:pPr>
      <w:r>
        <w:t>die Kostenentscheidung entsprechend zu ändern.</w:t>
      </w:r>
    </w:p>
    <w:p>
      <w:pPr>
        <w:pStyle w:val="Heading1"/>
      </w:pPr>
      <w:r>
        <w:t>Zulässigkeit</w:t>
      </w:r>
    </w:p>
    <w:p>
      <w:r>
        <w:t>Das Vergabeverfahren begann mit der Bekanntmachung am 03.07.2026. Nach § 187 Abs. 2 GWB gilt neues Recht. Die Zwei-Wochen-Notfrist des § 172 Abs. 1 GWB endet am 28.08.2026. Diese Beschwerde wird zugleich begründet. Die übrigen Beteiligten erhalten zeitgleich eine Ausfertigung.</w:t>
      </w:r>
    </w:p>
    <w:p>
      <w:r>
        <w:t>Soweit der Nachprüfungsantrag teilweise abgelehnt wurde, hat die Beschwerde nach § 173 Abs. 1 GWB keine aufschiebende Wirkung. Die Antragstellerin beantragt deshalb keine Verlängerung einer nicht bestehenden automatischen Wirkung, sondern verfolgt die Sachentscheidung mit besonderer Beschleunigung.</w:t>
      </w:r>
    </w:p>
    <w:p>
      <w:pPr>
        <w:pStyle w:val="Heading1"/>
        <w:keepNext/>
        <w:keepLines/>
      </w:pPr>
      <w:r>
        <w:t>Beschwerdegründe</w:t>
      </w:r>
    </w:p>
    <w:p>
      <w:pPr>
        <w:keepNext/>
        <w:keepLines/>
      </w:pPr>
      <w:r>
        <w:t>Die Kammer hat zu Recht die Sitznähe verworfen, lässt mit ihrer offenen Formulierung aber zu, dass der Auftraggeber denselben Regionalvorteil als vorab vorzuhaltende Betriebsstätte wiedereinführt. Für die ausgeschriebene Beratung ist eine physische Eintreffzeit nur in bestimmten Krisenszenarien erforderlich. Der überwiegende Leistungsanteil wird remote oder in planbaren Workshops erbracht.</w:t>
      </w:r>
    </w:p>
    <w:p>
      <w:pPr>
        <w:keepNext/>
        <w:keepLines/>
      </w:pPr>
      <w:r>
        <w:t>Ein auftragsbezogener Maßstab muss daher zwischen Alarmannahme, qualifizierter Remote-Reaktion und gegebenenfalls physischer Eintreffzeit unterscheiden. Ein Bewerber darf die Leistung durch ein belastbares Einsatzmodell nachweisen; eine Niederlassung vor Zuschlag wäre unverhältnismäßig.</w:t>
      </w:r>
    </w:p>
    <w:p>
      <w:pPr>
        <w:pStyle w:val="Heading1"/>
        <w:keepNext/>
        <w:keepLines/>
      </w:pPr>
      <w:r>
        <w:t>Tatsachen und Beweismittel</w:t>
      </w:r>
    </w:p>
    <w:tbl>
      <w:tblPr>
        <w:tblStyle w:val="TableGrid"/>
        <w:tblW w:type="dxa" w:w="9071"/>
        <w:jc w:val="left"/>
        <w:tblLayout w:type="fixed"/>
        <w:tblLook w:firstColumn="1" w:firstRow="1" w:lastColumn="0" w:lastRow="0" w:noHBand="0" w:noVBand="1" w:val="04A0"/>
      </w:tblPr>
      <w:tblGrid>
        <w:gridCol w:w="2852"/>
        <w:gridCol w:w="3118"/>
        <w:gridCol w:w="3101"/>
      </w:tblGrid>
      <w:tr>
        <w:trPr>
          <w:tblHeader w:val="true"/>
          <w:cantSplit/>
        </w:trPr>
        <w:tc>
          <w:tcPr>
            <w:tcW w:type="dxa" w:w="2852"/>
            <w:vAlign w:val="top"/>
            <w:tcMar>
              <w:top w:w="60" w:type="dxa"/>
              <w:start w:w="90" w:type="dxa"/>
              <w:bottom w:w="60" w:type="dxa"/>
              <w:end w:w="90" w:type="dxa"/>
            </w:tcMar>
            <w:shd w:fill="01696F"/>
          </w:tcPr>
          <w:p>
            <w:pPr>
              <w:keepLines/>
              <w:spacing w:after="0"/>
            </w:pPr>
            <w:r/>
            <w:r>
              <w:rPr>
                <w:rFonts w:ascii="Times New Roman" w:hAnsi="Times New Roman"/>
                <w:b/>
                <w:color w:val="FFFFFF"/>
                <w:sz w:val="17"/>
              </w:rPr>
              <w:t>Tatsache</w:t>
            </w:r>
          </w:p>
        </w:tc>
        <w:tc>
          <w:tcPr>
            <w:tcW w:type="dxa" w:w="3118"/>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Beweismittel</w:t>
            </w:r>
          </w:p>
        </w:tc>
        <w:tc>
          <w:tcPr>
            <w:tcW w:type="dxa" w:w="3101"/>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Bedeutung</w:t>
            </w:r>
          </w:p>
        </w:tc>
      </w:tr>
      <w:tr>
        <w:trPr>
          <w:cantSplit/>
        </w:trPr>
        <w:tc>
          <w:tcPr>
            <w:tcW w:type="dxa" w:w="2852"/>
            <w:vAlign w:val="top"/>
            <w:tcMar>
              <w:top w:w="60" w:type="dxa"/>
              <w:start w:w="90" w:type="dxa"/>
              <w:bottom w:w="60" w:type="dxa"/>
              <w:end w:w="90" w:type="dxa"/>
            </w:tcMar>
          </w:tcPr>
          <w:p>
            <w:pPr>
              <w:keepLines/>
              <w:spacing w:after="0"/>
            </w:pPr>
            <w:r/>
            <w:r>
              <w:rPr>
                <w:rFonts w:ascii="Times New Roman" w:hAnsi="Times New Roman"/>
                <w:sz w:val="17"/>
              </w:rPr>
              <w:t>24/7-Rufbereitschaft steht</w:t>
            </w:r>
          </w:p>
        </w:tc>
        <w:tc>
          <w:tcPr>
            <w:tcW w:type="dxa" w:w="3118"/>
            <w:vAlign w:val="top"/>
            <w:tcMar>
              <w:top w:w="60" w:type="dxa"/>
              <w:start w:w="90" w:type="dxa"/>
              <w:bottom w:w="60" w:type="dxa"/>
              <w:end w:w="90" w:type="dxa"/>
            </w:tcMar>
          </w:tcPr>
          <w:p>
            <w:pPr>
              <w:keepLines/>
              <w:spacing w:after="0"/>
            </w:pPr>
            <w:r/>
            <w:r>
              <w:rPr>
                <w:rFonts w:ascii="Times New Roman" w:hAnsi="Times New Roman"/>
                <w:sz w:val="17"/>
              </w:rPr>
              <w:t>Dienstplan Anlage B 4</w:t>
            </w:r>
          </w:p>
        </w:tc>
        <w:tc>
          <w:tcPr>
            <w:tcW w:type="dxa" w:w="3101"/>
            <w:vAlign w:val="top"/>
            <w:tcMar>
              <w:top w:w="60" w:type="dxa"/>
              <w:start w:w="90" w:type="dxa"/>
              <w:bottom w:w="60" w:type="dxa"/>
              <w:end w:w="90" w:type="dxa"/>
            </w:tcMar>
          </w:tcPr>
          <w:p>
            <w:pPr>
              <w:keepLines/>
              <w:spacing w:after="0"/>
            </w:pPr>
            <w:r/>
            <w:r>
              <w:rPr>
                <w:rFonts w:ascii="Times New Roman" w:hAnsi="Times New Roman"/>
                <w:sz w:val="17"/>
              </w:rPr>
              <w:t>Reaktion binnen 15 Minuten</w:t>
            </w:r>
          </w:p>
        </w:tc>
      </w:tr>
      <w:tr>
        <w:trPr>
          <w:cantSplit/>
        </w:trPr>
        <w:tc>
          <w:tcPr>
            <w:tcW w:type="dxa" w:w="2852"/>
            <w:vAlign w:val="top"/>
            <w:tcMar>
              <w:top w:w="60" w:type="dxa"/>
              <w:start w:w="90" w:type="dxa"/>
              <w:bottom w:w="60" w:type="dxa"/>
              <w:end w:w="90" w:type="dxa"/>
            </w:tcMar>
            <w:shd w:fill="F1F3F3"/>
          </w:tcPr>
          <w:p>
            <w:pPr>
              <w:keepLines/>
              <w:spacing w:after="0"/>
            </w:pPr>
            <w:r/>
            <w:r>
              <w:rPr>
                <w:rFonts w:ascii="Times New Roman" w:hAnsi="Times New Roman"/>
                <w:sz w:val="17"/>
              </w:rPr>
              <w:t>zwei Einsatzteams verfügbar</w:t>
            </w:r>
          </w:p>
        </w:tc>
        <w:tc>
          <w:tcPr>
            <w:tcW w:type="dxa" w:w="3118"/>
            <w:vAlign w:val="top"/>
            <w:tcMar>
              <w:top w:w="60" w:type="dxa"/>
              <w:start w:w="90" w:type="dxa"/>
              <w:bottom w:w="60" w:type="dxa"/>
              <w:end w:w="90" w:type="dxa"/>
            </w:tcMar>
            <w:shd w:fill="F1F3F3"/>
          </w:tcPr>
          <w:p>
            <w:pPr>
              <w:keepLines/>
              <w:spacing w:after="0"/>
            </w:pPr>
            <w:r/>
            <w:r>
              <w:rPr>
                <w:rFonts w:ascii="Times New Roman" w:hAnsi="Times New Roman"/>
                <w:sz w:val="17"/>
              </w:rPr>
              <w:t>Personalzuordnung Anlage B 5</w:t>
            </w:r>
          </w:p>
        </w:tc>
        <w:tc>
          <w:tcPr>
            <w:tcW w:type="dxa" w:w="3101"/>
            <w:vAlign w:val="top"/>
            <w:tcMar>
              <w:top w:w="60" w:type="dxa"/>
              <w:start w:w="90" w:type="dxa"/>
              <w:bottom w:w="60" w:type="dxa"/>
              <w:end w:w="90" w:type="dxa"/>
            </w:tcMar>
            <w:shd w:fill="F1F3F3"/>
          </w:tcPr>
          <w:p>
            <w:pPr>
              <w:keepLines/>
              <w:spacing w:after="0"/>
            </w:pPr>
            <w:r/>
            <w:r>
              <w:rPr>
                <w:rFonts w:ascii="Times New Roman" w:hAnsi="Times New Roman"/>
                <w:sz w:val="17"/>
              </w:rPr>
              <w:t>Ausfallsicherheit</w:t>
            </w:r>
          </w:p>
        </w:tc>
      </w:tr>
      <w:tr>
        <w:trPr>
          <w:cantSplit/>
        </w:trPr>
        <w:tc>
          <w:tcPr>
            <w:tcW w:type="dxa" w:w="2852"/>
            <w:vAlign w:val="top"/>
            <w:tcMar>
              <w:top w:w="60" w:type="dxa"/>
              <w:start w:w="90" w:type="dxa"/>
              <w:bottom w:w="60" w:type="dxa"/>
              <w:end w:w="90" w:type="dxa"/>
            </w:tcMar>
          </w:tcPr>
          <w:p>
            <w:pPr>
              <w:keepLines/>
              <w:spacing w:after="0"/>
            </w:pPr>
            <w:r/>
            <w:r>
              <w:rPr>
                <w:rFonts w:ascii="Times New Roman" w:hAnsi="Times New Roman"/>
                <w:sz w:val="17"/>
              </w:rPr>
              <w:t>Anfahrt in höchstens 150 Minuten</w:t>
            </w:r>
          </w:p>
        </w:tc>
        <w:tc>
          <w:tcPr>
            <w:tcW w:type="dxa" w:w="3118"/>
            <w:vAlign w:val="top"/>
            <w:tcMar>
              <w:top w:w="60" w:type="dxa"/>
              <w:start w:w="90" w:type="dxa"/>
              <w:bottom w:w="60" w:type="dxa"/>
              <w:end w:w="90" w:type="dxa"/>
            </w:tcMar>
          </w:tcPr>
          <w:p>
            <w:pPr>
              <w:keepLines/>
              <w:spacing w:after="0"/>
            </w:pPr>
            <w:r/>
            <w:r>
              <w:rPr>
                <w:rFonts w:ascii="Times New Roman" w:hAnsi="Times New Roman"/>
                <w:sz w:val="17"/>
              </w:rPr>
              <w:t>Routing- und Fahrzeugkonzept Anlage B 6</w:t>
            </w:r>
          </w:p>
        </w:tc>
        <w:tc>
          <w:tcPr>
            <w:tcW w:type="dxa" w:w="3101"/>
            <w:vAlign w:val="top"/>
            <w:tcMar>
              <w:top w:w="60" w:type="dxa"/>
              <w:start w:w="90" w:type="dxa"/>
              <w:bottom w:w="60" w:type="dxa"/>
              <w:end w:w="90" w:type="dxa"/>
            </w:tcMar>
          </w:tcPr>
          <w:p>
            <w:pPr>
              <w:keepLines/>
              <w:spacing w:after="0"/>
            </w:pPr>
            <w:r/>
            <w:r>
              <w:rPr>
                <w:rFonts w:ascii="Times New Roman" w:hAnsi="Times New Roman"/>
                <w:sz w:val="17"/>
              </w:rPr>
              <w:t>physische Einsatzfähigkeit</w:t>
            </w:r>
          </w:p>
        </w:tc>
      </w:tr>
      <w:tr>
        <w:trPr>
          <w:cantSplit/>
        </w:trPr>
        <w:tc>
          <w:tcPr>
            <w:tcW w:type="dxa" w:w="2852"/>
            <w:vAlign w:val="top"/>
            <w:tcMar>
              <w:top w:w="60" w:type="dxa"/>
              <w:start w:w="90" w:type="dxa"/>
              <w:bottom w:w="60" w:type="dxa"/>
              <w:end w:w="90" w:type="dxa"/>
            </w:tcMar>
            <w:shd w:fill="F1F3F3"/>
          </w:tcPr>
          <w:p>
            <w:pPr>
              <w:keepLines/>
              <w:spacing w:after="0"/>
            </w:pPr>
            <w:r/>
            <w:r>
              <w:rPr>
                <w:rFonts w:ascii="Times New Roman" w:hAnsi="Times New Roman"/>
                <w:sz w:val="17"/>
              </w:rPr>
              <w:t>Remote-Bearbeitung dominiert</w:t>
            </w:r>
          </w:p>
        </w:tc>
        <w:tc>
          <w:tcPr>
            <w:tcW w:type="dxa" w:w="3118"/>
            <w:vAlign w:val="top"/>
            <w:tcMar>
              <w:top w:w="60" w:type="dxa"/>
              <w:start w:w="90" w:type="dxa"/>
              <w:bottom w:w="60" w:type="dxa"/>
              <w:end w:w="90" w:type="dxa"/>
            </w:tcMar>
            <w:shd w:fill="F1F3F3"/>
          </w:tcPr>
          <w:p>
            <w:pPr>
              <w:keepLines/>
              <w:spacing w:after="0"/>
            </w:pPr>
            <w:r/>
            <w:r>
              <w:rPr>
                <w:rFonts w:ascii="Times New Roman" w:hAnsi="Times New Roman"/>
                <w:sz w:val="17"/>
              </w:rPr>
              <w:t>Leistungsbeschreibung Kapitel 3</w:t>
            </w:r>
          </w:p>
        </w:tc>
        <w:tc>
          <w:tcPr>
            <w:tcW w:type="dxa" w:w="3101"/>
            <w:vAlign w:val="top"/>
            <w:tcMar>
              <w:top w:w="60" w:type="dxa"/>
              <w:start w:w="90" w:type="dxa"/>
              <w:bottom w:w="60" w:type="dxa"/>
              <w:end w:w="90" w:type="dxa"/>
            </w:tcMar>
            <w:shd w:fill="F1F3F3"/>
          </w:tcPr>
          <w:p>
            <w:pPr>
              <w:keepLines/>
              <w:spacing w:after="0"/>
            </w:pPr>
            <w:r/>
            <w:r>
              <w:rPr>
                <w:rFonts w:ascii="Times New Roman" w:hAnsi="Times New Roman"/>
                <w:sz w:val="17"/>
              </w:rPr>
              <w:t>Sitznähe für Hauptleistung ohne Aussagekraft</w:t>
            </w:r>
          </w:p>
        </w:tc>
      </w:tr>
    </w:tbl>
    <w:p>
      <w:pPr>
        <w:spacing w:after="0" w:before="40"/>
      </w:pPr>
    </w:p>
    <w:p>
      <w:pPr>
        <w:pStyle w:val="Heading1"/>
        <w:keepNext/>
        <w:keepLines/>
      </w:pPr>
      <w:r>
        <w:t>Unterschrift</w:t>
      </w:r>
    </w:p>
    <w:p>
      <w:pPr>
        <w:keepNext/>
        <w:keepLines/>
      </w:pPr>
      <w:r>
        <w:t>Rechtsanwältin Dr. Lea Verding</w:t>
      </w:r>
    </w:p>
    <w:p>
      <w:pPr>
        <w:keepLines/>
      </w:pPr>
      <w:r>
        <w:t>für die Antragstellerin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BM-2026-CYBER-005</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Beratung Mustertal GmbH und Beratung Norddeutschland GmbH als Bietergemeinschaft</w:t>
      <w:t xml:space="preserve">  |  BM-2026-CYBER-005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Sofortige Beschwerde gegen den Beschluss VK ML 12-31/26</dc:title>
  <dc:subject>Sofortige Beschwerde | Az. BM-2026-CYBER-005</dc:subject>
  <dc:creator>Beratung Mustertal GmbH und Beratung Norddeutschland GmbH als Bietergemeinschaft</dc:creator>
  <cp:keywords>Vergaberecht, BM-2026-CYBER-005, Sofortige Beschwerde</cp:keywords>
  <dc:description>generated by python-docx</dc:description>
  <cp:lastModifiedBy>Beratung Mustertal GmbH und Beratung Norddeutschland GmbH als Bietergemeinschaft</cp:lastModifiedBy>
  <cp:revision>1</cp:revision>
  <dcterms:created xsi:type="dcterms:W3CDTF">2000-01-01T00:00:00Z</dcterms:created>
  <dcterms:modified xsi:type="dcterms:W3CDTF">2000-01-01T00:00:00Z</dcterms:modified>
  <cp:category>Vergabeakte</cp:category>
</cp:coreProperties>
</file>