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Ministerium für Inneres und Digitalisierung Musterland</w:t>
            </w:r>
          </w:p>
          <w:p>
            <w:pPr>
              <w:spacing w:after="0"/>
            </w:pPr>
            <w:r>
              <w:rPr>
                <w:color w:val="646464"/>
                <w:sz w:val="18"/>
              </w:rPr>
              <w:t>Schlossgasse 1, 88888 Musterhausen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28.08.2026</w:t>
              <w:br/>
            </w:r>
            <w:r>
              <w:rPr>
                <w:rFonts w:ascii="Times New Roman" w:hAnsi="Times New Roman"/>
                <w:color w:val="646464"/>
                <w:sz w:val="18"/>
              </w:rPr>
              <w:t>Aktenzeichen: MID-STRAT-2026-07</w:t>
              <w:br/>
            </w:r>
            <w:r>
              <w:rPr>
                <w:rFonts w:ascii="Times New Roman" w:hAnsi="Times New Roman"/>
                <w:color w:val="646464"/>
                <w:sz w:val="18"/>
              </w:rPr>
              <w:t>Beschwerdeerwiderung</w:t>
            </w:r>
          </w:p>
        </w:tc>
      </w:tr>
    </w:tbl>
    <w:p>
      <w:pPr>
        <w:spacing w:before="200" w:after="40"/>
      </w:pPr>
      <w:r>
        <w:rPr>
          <w:rFonts w:ascii="Times New Roman" w:hAnsi="Times New Roman"/>
          <w:color w:val="646464"/>
          <w:sz w:val="15"/>
        </w:rPr>
        <w:t>Ministerium für Inneres und Digitalisierung Musterland · Schlossgasse 1, 88888 Musterhausen</w:t>
      </w:r>
    </w:p>
    <w:p>
      <w:pPr>
        <w:spacing w:after="240"/>
      </w:pPr>
      <w:r>
        <w:t>Oberlandesgericht Musterstadt - Vergabesenat</w:t>
      </w:r>
    </w:p>
    <w:p>
      <w:pPr>
        <w:pStyle w:val="Title"/>
      </w:pPr>
      <w:r>
        <w:t>Erwiderung auf die sofortige Beschwerde der Bietergemeinschaft Beratung Mustertal</w:t>
      </w:r>
    </w:p>
    <w:p>
      <w:pPr>
        <w:pStyle w:val="Heading1"/>
      </w:pPr>
      <w:r>
        <w:t>Antrag</w:t>
      </w:r>
    </w:p>
    <w:p>
      <w:r>
        <w:t>Der Antragsgegner beantragt, die sofortige Beschwerde zurückzuweisen.</w:t>
      </w:r>
    </w:p>
    <w:p>
      <w:pPr>
        <w:pStyle w:val="Heading1"/>
      </w:pPr>
      <w:r>
        <w:t>Klarstellung des Beschaffungsbedarfs</w:t>
      </w:r>
    </w:p>
    <w:p>
      <w:r>
        <w:t>Das Ministerium wird weder den satzungsmäßigen Sitz noch eine bereits bei Bewerbung vorhandene Niederlassung bewerten. Nach der Rückversetzung soll ausschließlich geprüft werden, ob das für den Auftrag verbindlich benannte Team definierte Reaktionsstufen einhalten kann.</w:t>
      </w:r>
    </w:p>
    <w:tbl>
      <w:tblPr>
        <w:tblStyle w:val="TableGrid"/>
        <w:tblW w:type="dxa" w:w="9070"/>
        <w:jc w:val="left"/>
        <w:tblLayout w:type="fixed"/>
        <w:tblLook w:firstColumn="1" w:firstRow="1" w:lastColumn="0" w:lastRow="0" w:noHBand="0" w:noVBand="1" w:val="04A0"/>
      </w:tblPr>
      <w:tblGrid>
        <w:gridCol w:w="1737"/>
        <w:gridCol w:w="2231"/>
        <w:gridCol w:w="2653"/>
        <w:gridCol w:w="2449"/>
      </w:tblGrid>
      <w:tr>
        <w:trPr>
          <w:tblHeader w:val="true"/>
          <w:cantSplit/>
        </w:trPr>
        <w:tc>
          <w:tcPr>
            <w:tcW w:type="dxa" w:w="1737"/>
            <w:vAlign w:val="top"/>
            <w:tcMar>
              <w:top w:w="60" w:type="dxa"/>
              <w:start w:w="90" w:type="dxa"/>
              <w:bottom w:w="60" w:type="dxa"/>
              <w:end w:w="90" w:type="dxa"/>
            </w:tcMar>
            <w:shd w:fill="01696F"/>
          </w:tcPr>
          <w:p>
            <w:pPr>
              <w:keepLines/>
              <w:spacing w:after="0"/>
            </w:pPr>
            <w:r/>
            <w:r>
              <w:rPr>
                <w:rFonts w:ascii="Times New Roman" w:hAnsi="Times New Roman"/>
                <w:b/>
                <w:color w:val="FFFFFF"/>
                <w:sz w:val="17"/>
              </w:rPr>
              <w:t>Stufe</w:t>
            </w:r>
          </w:p>
        </w:tc>
        <w:tc>
          <w:tcPr>
            <w:tcW w:type="dxa" w:w="2231"/>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Ereignis</w:t>
            </w:r>
          </w:p>
        </w:tc>
        <w:tc>
          <w:tcPr>
            <w:tcW w:type="dxa" w:w="2653"/>
            <w:vAlign w:val="top"/>
            <w:tcMar>
              <w:top w:w="60" w:type="dxa"/>
              <w:start w:w="90" w:type="dxa"/>
              <w:bottom w:w="60" w:type="dxa"/>
              <w:end w:w="90" w:type="dxa"/>
            </w:tcMar>
            <w:shd w:fill="01696F"/>
          </w:tcPr>
          <w:p>
            <w:pPr>
              <w:keepLines/>
              <w:spacing w:after="0"/>
            </w:pPr>
            <w:r/>
            <w:r>
              <w:rPr>
                <w:rFonts w:ascii="Times New Roman" w:hAnsi="Times New Roman"/>
                <w:b/>
                <w:color w:val="FFFFFF"/>
                <w:sz w:val="17"/>
              </w:rPr>
              <w:t>Mindestleistung</w:t>
            </w:r>
          </w:p>
        </w:tc>
        <w:tc>
          <w:tcPr>
            <w:tcW w:type="dxa" w:w="2449"/>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Bewertbarer Mehrwert</w:t>
            </w:r>
          </w:p>
        </w:tc>
      </w:tr>
      <w:tr>
        <w:trPr>
          <w:cantSplit/>
        </w:trPr>
        <w:tc>
          <w:tcPr>
            <w:tcW w:type="dxa" w:w="1737"/>
            <w:vAlign w:val="top"/>
            <w:tcMar>
              <w:top w:w="60" w:type="dxa"/>
              <w:start w:w="90" w:type="dxa"/>
              <w:bottom w:w="60" w:type="dxa"/>
              <w:end w:w="90" w:type="dxa"/>
            </w:tcMar>
          </w:tcPr>
          <w:p>
            <w:pPr>
              <w:keepLines/>
              <w:spacing w:after="0"/>
            </w:pPr>
            <w:r/>
            <w:r>
              <w:rPr>
                <w:rFonts w:ascii="Times New Roman" w:hAnsi="Times New Roman"/>
                <w:sz w:val="17"/>
              </w:rPr>
              <w:t>R1</w:t>
            </w:r>
          </w:p>
        </w:tc>
        <w:tc>
          <w:tcPr>
            <w:tcW w:type="dxa" w:w="2231"/>
            <w:vAlign w:val="top"/>
            <w:tcMar>
              <w:top w:w="60" w:type="dxa"/>
              <w:start w:w="90" w:type="dxa"/>
              <w:bottom w:w="60" w:type="dxa"/>
              <w:end w:w="90" w:type="dxa"/>
            </w:tcMar>
          </w:tcPr>
          <w:p>
            <w:pPr>
              <w:keepLines/>
              <w:spacing w:after="0"/>
            </w:pPr>
            <w:r/>
            <w:r>
              <w:rPr>
                <w:rFonts w:ascii="Times New Roman" w:hAnsi="Times New Roman"/>
                <w:sz w:val="17"/>
              </w:rPr>
              <w:t>kritischer Sicherheitsalarm</w:t>
            </w:r>
          </w:p>
        </w:tc>
        <w:tc>
          <w:tcPr>
            <w:tcW w:type="dxa" w:w="2653"/>
            <w:vAlign w:val="top"/>
            <w:tcMar>
              <w:top w:w="60" w:type="dxa"/>
              <w:start w:w="90" w:type="dxa"/>
              <w:bottom w:w="60" w:type="dxa"/>
              <w:end w:w="90" w:type="dxa"/>
            </w:tcMar>
          </w:tcPr>
          <w:p>
            <w:pPr>
              <w:keepLines/>
              <w:spacing w:after="0"/>
            </w:pPr>
            <w:r/>
            <w:r>
              <w:rPr>
                <w:rFonts w:ascii="Times New Roman" w:hAnsi="Times New Roman"/>
                <w:sz w:val="17"/>
              </w:rPr>
              <w:t>qualifizierte Remote-Reaktion binnen 20 Minuten</w:t>
            </w:r>
          </w:p>
        </w:tc>
        <w:tc>
          <w:tcPr>
            <w:tcW w:type="dxa" w:w="2449"/>
            <w:vAlign w:val="top"/>
            <w:tcMar>
              <w:top w:w="60" w:type="dxa"/>
              <w:start w:w="90" w:type="dxa"/>
              <w:bottom w:w="60" w:type="dxa"/>
              <w:end w:w="90" w:type="dxa"/>
            </w:tcMar>
          </w:tcPr>
          <w:p>
            <w:pPr>
              <w:keepLines/>
              <w:spacing w:after="0"/>
            </w:pPr>
            <w:r/>
            <w:r>
              <w:rPr>
                <w:rFonts w:ascii="Times New Roman" w:hAnsi="Times New Roman"/>
                <w:sz w:val="17"/>
              </w:rPr>
              <w:t>belastbare Verkürzung bis zehn Minuten</w:t>
            </w:r>
          </w:p>
        </w:tc>
      </w:tr>
      <w:tr>
        <w:trPr>
          <w:cantSplit/>
        </w:trPr>
        <w:tc>
          <w:tcPr>
            <w:tcW w:type="dxa" w:w="1737"/>
            <w:vAlign w:val="top"/>
            <w:tcMar>
              <w:top w:w="60" w:type="dxa"/>
              <w:start w:w="90" w:type="dxa"/>
              <w:bottom w:w="60" w:type="dxa"/>
              <w:end w:w="90" w:type="dxa"/>
            </w:tcMar>
            <w:shd w:fill="F1F3F3"/>
          </w:tcPr>
          <w:p>
            <w:pPr>
              <w:keepLines/>
              <w:spacing w:after="0"/>
            </w:pPr>
            <w:r/>
            <w:r>
              <w:rPr>
                <w:rFonts w:ascii="Times New Roman" w:hAnsi="Times New Roman"/>
                <w:sz w:val="17"/>
              </w:rPr>
              <w:t>R2</w:t>
            </w:r>
          </w:p>
        </w:tc>
        <w:tc>
          <w:tcPr>
            <w:tcW w:type="dxa" w:w="2231"/>
            <w:vAlign w:val="top"/>
            <w:tcMar>
              <w:top w:w="60" w:type="dxa"/>
              <w:start w:w="90" w:type="dxa"/>
              <w:bottom w:w="60" w:type="dxa"/>
              <w:end w:w="90" w:type="dxa"/>
            </w:tcMar>
            <w:shd w:fill="F1F3F3"/>
          </w:tcPr>
          <w:p>
            <w:pPr>
              <w:keepLines/>
              <w:spacing w:after="0"/>
            </w:pPr>
            <w:r/>
            <w:r>
              <w:rPr>
                <w:rFonts w:ascii="Times New Roman" w:hAnsi="Times New Roman"/>
                <w:sz w:val="17"/>
              </w:rPr>
              <w:t>forensische Sicherung</w:t>
            </w:r>
          </w:p>
        </w:tc>
        <w:tc>
          <w:tcPr>
            <w:tcW w:type="dxa" w:w="2653"/>
            <w:vAlign w:val="top"/>
            <w:tcMar>
              <w:top w:w="60" w:type="dxa"/>
              <w:start w:w="90" w:type="dxa"/>
              <w:bottom w:w="60" w:type="dxa"/>
              <w:end w:w="90" w:type="dxa"/>
            </w:tcMar>
            <w:shd w:fill="F1F3F3"/>
          </w:tcPr>
          <w:p>
            <w:pPr>
              <w:keepLines/>
              <w:spacing w:after="0"/>
            </w:pPr>
            <w:r/>
            <w:r>
              <w:rPr>
                <w:rFonts w:ascii="Times New Roman" w:hAnsi="Times New Roman"/>
                <w:sz w:val="17"/>
              </w:rPr>
              <w:t>einsatzbereite Fachkraft binnen 60 Minuten remote</w:t>
            </w:r>
          </w:p>
        </w:tc>
        <w:tc>
          <w:tcPr>
            <w:tcW w:type="dxa" w:w="2449"/>
            <w:vAlign w:val="top"/>
            <w:tcMar>
              <w:top w:w="60" w:type="dxa"/>
              <w:start w:w="90" w:type="dxa"/>
              <w:bottom w:w="60" w:type="dxa"/>
              <w:end w:w="90" w:type="dxa"/>
            </w:tcMar>
            <w:shd w:fill="F1F3F3"/>
          </w:tcPr>
          <w:p>
            <w:pPr>
              <w:keepLines/>
              <w:spacing w:after="0"/>
            </w:pPr>
            <w:r/>
            <w:r>
              <w:rPr>
                <w:rFonts w:ascii="Times New Roman" w:hAnsi="Times New Roman"/>
                <w:sz w:val="17"/>
              </w:rPr>
              <w:t>paralleles Zweitteam</w:t>
            </w:r>
          </w:p>
        </w:tc>
      </w:tr>
      <w:tr>
        <w:trPr>
          <w:cantSplit/>
        </w:trPr>
        <w:tc>
          <w:tcPr>
            <w:tcW w:type="dxa" w:w="1737"/>
            <w:vAlign w:val="top"/>
            <w:tcMar>
              <w:top w:w="60" w:type="dxa"/>
              <w:start w:w="90" w:type="dxa"/>
              <w:bottom w:w="60" w:type="dxa"/>
              <w:end w:w="90" w:type="dxa"/>
            </w:tcMar>
          </w:tcPr>
          <w:p>
            <w:pPr>
              <w:keepLines/>
              <w:spacing w:after="0"/>
            </w:pPr>
            <w:r/>
            <w:r>
              <w:rPr>
                <w:rFonts w:ascii="Times New Roman" w:hAnsi="Times New Roman"/>
                <w:sz w:val="17"/>
              </w:rPr>
              <w:t>R3</w:t>
            </w:r>
          </w:p>
        </w:tc>
        <w:tc>
          <w:tcPr>
            <w:tcW w:type="dxa" w:w="2231"/>
            <w:vAlign w:val="top"/>
            <w:tcMar>
              <w:top w:w="60" w:type="dxa"/>
              <w:start w:w="90" w:type="dxa"/>
              <w:bottom w:w="60" w:type="dxa"/>
              <w:end w:w="90" w:type="dxa"/>
            </w:tcMar>
          </w:tcPr>
          <w:p>
            <w:pPr>
              <w:keepLines/>
              <w:spacing w:after="0"/>
            </w:pPr>
            <w:r/>
            <w:r>
              <w:rPr>
                <w:rFonts w:ascii="Times New Roman" w:hAnsi="Times New Roman"/>
                <w:sz w:val="17"/>
              </w:rPr>
              <w:t>physischer Einsatz angeordnet</w:t>
            </w:r>
          </w:p>
        </w:tc>
        <w:tc>
          <w:tcPr>
            <w:tcW w:type="dxa" w:w="2653"/>
            <w:vAlign w:val="top"/>
            <w:tcMar>
              <w:top w:w="60" w:type="dxa"/>
              <w:start w:w="90" w:type="dxa"/>
              <w:bottom w:w="60" w:type="dxa"/>
              <w:end w:w="90" w:type="dxa"/>
            </w:tcMar>
          </w:tcPr>
          <w:p>
            <w:pPr>
              <w:keepLines/>
              <w:spacing w:after="0"/>
            </w:pPr>
            <w:r/>
            <w:r>
              <w:rPr>
                <w:rFonts w:ascii="Times New Roman" w:hAnsi="Times New Roman"/>
                <w:sz w:val="17"/>
              </w:rPr>
              <w:t>Eintreffen binnen 180 Minuten</w:t>
            </w:r>
          </w:p>
        </w:tc>
        <w:tc>
          <w:tcPr>
            <w:tcW w:type="dxa" w:w="2449"/>
            <w:vAlign w:val="top"/>
            <w:tcMar>
              <w:top w:w="60" w:type="dxa"/>
              <w:start w:w="90" w:type="dxa"/>
              <w:bottom w:w="60" w:type="dxa"/>
              <w:end w:w="90" w:type="dxa"/>
            </w:tcMar>
          </w:tcPr>
          <w:p>
            <w:pPr>
              <w:keepLines/>
              <w:spacing w:after="0"/>
            </w:pPr>
            <w:r/>
            <w:r>
              <w:rPr>
                <w:rFonts w:ascii="Times New Roman" w:hAnsi="Times New Roman"/>
                <w:sz w:val="17"/>
              </w:rPr>
              <w:t>belastbare Verkürzung bis 120 Minuten</w:t>
            </w:r>
          </w:p>
        </w:tc>
      </w:tr>
      <w:tr>
        <w:trPr>
          <w:cantSplit/>
        </w:trPr>
        <w:tc>
          <w:tcPr>
            <w:tcW w:type="dxa" w:w="1737"/>
            <w:vAlign w:val="top"/>
            <w:tcMar>
              <w:top w:w="60" w:type="dxa"/>
              <w:start w:w="90" w:type="dxa"/>
              <w:bottom w:w="60" w:type="dxa"/>
              <w:end w:w="90" w:type="dxa"/>
            </w:tcMar>
            <w:shd w:fill="F1F3F3"/>
          </w:tcPr>
          <w:p>
            <w:pPr>
              <w:keepLines/>
              <w:spacing w:after="0"/>
            </w:pPr>
            <w:r/>
            <w:r>
              <w:rPr>
                <w:rFonts w:ascii="Times New Roman" w:hAnsi="Times New Roman"/>
                <w:sz w:val="17"/>
              </w:rPr>
              <w:t>R4</w:t>
            </w:r>
          </w:p>
        </w:tc>
        <w:tc>
          <w:tcPr>
            <w:tcW w:type="dxa" w:w="2231"/>
            <w:vAlign w:val="top"/>
            <w:tcMar>
              <w:top w:w="60" w:type="dxa"/>
              <w:start w:w="90" w:type="dxa"/>
              <w:bottom w:w="60" w:type="dxa"/>
              <w:end w:w="90" w:type="dxa"/>
            </w:tcMar>
            <w:shd w:fill="F1F3F3"/>
          </w:tcPr>
          <w:p>
            <w:pPr>
              <w:keepLines/>
              <w:spacing w:after="0"/>
            </w:pPr>
            <w:r/>
            <w:r>
              <w:rPr>
                <w:rFonts w:ascii="Times New Roman" w:hAnsi="Times New Roman"/>
                <w:sz w:val="17"/>
              </w:rPr>
              <w:t>länger dauernde Krise</w:t>
            </w:r>
          </w:p>
        </w:tc>
        <w:tc>
          <w:tcPr>
            <w:tcW w:type="dxa" w:w="2653"/>
            <w:vAlign w:val="top"/>
            <w:tcMar>
              <w:top w:w="60" w:type="dxa"/>
              <w:start w:w="90" w:type="dxa"/>
              <w:bottom w:w="60" w:type="dxa"/>
              <w:end w:w="90" w:type="dxa"/>
            </w:tcMar>
            <w:shd w:fill="F1F3F3"/>
          </w:tcPr>
          <w:p>
            <w:pPr>
              <w:keepLines/>
              <w:spacing w:after="0"/>
            </w:pPr>
            <w:r/>
            <w:r>
              <w:rPr>
                <w:rFonts w:ascii="Times New Roman" w:hAnsi="Times New Roman"/>
                <w:sz w:val="17"/>
              </w:rPr>
              <w:t>Schichtbetrieb binnen acht Stunden</w:t>
            </w:r>
          </w:p>
        </w:tc>
        <w:tc>
          <w:tcPr>
            <w:tcW w:type="dxa" w:w="2449"/>
            <w:vAlign w:val="top"/>
            <w:tcMar>
              <w:top w:w="60" w:type="dxa"/>
              <w:start w:w="90" w:type="dxa"/>
              <w:bottom w:w="60" w:type="dxa"/>
              <w:end w:w="90" w:type="dxa"/>
            </w:tcMar>
            <w:shd w:fill="F1F3F3"/>
          </w:tcPr>
          <w:p>
            <w:pPr>
              <w:keepLines/>
              <w:spacing w:after="0"/>
            </w:pPr>
            <w:r/>
            <w:r>
              <w:rPr>
                <w:rFonts w:ascii="Times New Roman" w:hAnsi="Times New Roman"/>
                <w:sz w:val="17"/>
              </w:rPr>
              <w:t>nachgewiesene Reservekapazität</w:t>
            </w:r>
          </w:p>
        </w:tc>
      </w:tr>
    </w:tbl>
    <w:p>
      <w:pPr>
        <w:spacing w:after="0" w:before="40"/>
      </w:pPr>
    </w:p>
    <w:p>
      <w:pPr>
        <w:pStyle w:val="Heading1"/>
      </w:pPr>
      <w:r>
        <w:t>Rechtliche Einordnung</w:t>
      </w:r>
    </w:p>
    <w:p>
      <w:pPr>
        <w:keepNext/>
        <w:keepLines/>
      </w:pPr>
      <w:r>
        <w:t>Auftragsbezogene Reaktionszeiten sind nicht mit einem Standortkriterium gleichzusetzen. Entscheidend ist, dass jeder Bewerber die gleiche Anforderung unabhängig von Herkunft oder Sitz erfüllen kann und dass das Ministerium nur die verbindlich angebotene Leistung wertet. Die Forderung der Beschwerdeführerin, jede physische Reaktionsleistung auszuschließen, greift in die sachgerechte Bestimmung des Beschaffungsbedarfs ein.</w:t>
      </w:r>
    </w:p>
    <w:p>
      <w:pPr>
        <w:keepNext/>
        <w:keepLines/>
      </w:pPr>
      <w:r>
        <w:t>Das Ministerium wird die Mindestanforderung und die Zuschlagswertung voneinander trennen. Die Eignungsprüfung beantwortet, ob ausreichende personelle und organisatorische Mittel vorhanden sind. Die spätere Angebotswertung beurteilt ausschließlich die Qualität des konkreten Einsatzkonzepts, ohne dieselbe Referenz oder Mitarbeiterzahl erneut zu bepunkten.</w:t>
      </w:r>
    </w:p>
    <w:p>
      <w:pPr>
        <w:pStyle w:val="Heading1"/>
        <w:keepNext/>
        <w:keepLines/>
      </w:pPr>
      <w:r>
        <w:t>Verfahrenssicherung</w:t>
      </w:r>
    </w:p>
    <w:p>
      <w:pPr>
        <w:keepLines/>
      </w:pPr>
      <w:r>
        <w:t>Bis zur Veröffentlichung der berichtigten Unterlagen erfolgt keine Bewerberauswahl. Alle registrierten Unternehmen erhalten die geänderte Matrix gleichzeitig. Die Teilnahmefrist wird ab Bereitstellung der vollständigen Fassung neu mit 20 Kalendertagen bemessen. Änderung, Fragen und Antworten werden in der Vergabeakte versioniert.</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MID-STRAT-2026-07</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Ministerium für Inneres und Digitalisierung Musterland</w:t>
      <w:t xml:space="preserve">  |  MID-STRAT-2026-07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Erwiderung auf die sofortige Beschwerde der Bietergemeinschaft Beratung Mustertal</dc:title>
  <dc:subject>Beschwerdeerwiderung | Az. MID-STRAT-2026-07</dc:subject>
  <dc:creator>Ministerium für Inneres und Digitalisierung Musterland</dc:creator>
  <cp:keywords>Vergaberecht, MID-STRAT-2026-07, Beschwerdeerwiderung</cp:keywords>
  <dc:description>generated by python-docx</dc:description>
  <cp:lastModifiedBy>Ministerium für Inneres und Digitalisierung Musterland</cp:lastModifiedBy>
  <cp:revision>1</cp:revision>
  <dcterms:created xsi:type="dcterms:W3CDTF">2000-01-01T00:00:00Z</dcterms:created>
  <dcterms:modified xsi:type="dcterms:W3CDTF">2000-01-01T00:00:00Z</dcterms:modified>
  <cp:category>Vergabeakte</cp:category>
</cp:coreProperties>
</file>