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Oberlandesgericht Musterstadt - Vergabesenat</w:t>
            </w:r>
          </w:p>
          <w:p>
            <w:pPr>
              <w:spacing w:after="0"/>
            </w:pPr>
            <w:r>
              <w:rPr>
                <w:color w:val="646464"/>
                <w:sz w:val="18"/>
              </w:rPr>
              <w:t>Schlossgasse 1, 88888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03.09.2026</w:t>
              <w:br/>
            </w:r>
            <w:r>
              <w:rPr>
                <w:rFonts w:ascii="Times New Roman" w:hAnsi="Times New Roman"/>
                <w:color w:val="646464"/>
                <w:sz w:val="18"/>
              </w:rPr>
              <w:t>Aktenzeichen: Verg 6/26</w:t>
              <w:br/>
            </w:r>
            <w:r>
              <w:rPr>
                <w:rFonts w:ascii="Times New Roman" w:hAnsi="Times New Roman"/>
                <w:color w:val="646464"/>
                <w:sz w:val="18"/>
              </w:rPr>
              <w:t>Gerichtlicher Vergleich</w:t>
            </w:r>
          </w:p>
        </w:tc>
      </w:tr>
    </w:tbl>
    <w:p>
      <w:pPr>
        <w:spacing w:before="200" w:after="40"/>
      </w:pPr>
      <w:r>
        <w:rPr>
          <w:rFonts w:ascii="Times New Roman" w:hAnsi="Times New Roman"/>
          <w:color w:val="646464"/>
          <w:sz w:val="15"/>
        </w:rPr>
        <w:t>Oberlandesgericht Musterstadt - Vergabesenat · Schlossgasse 1, 88888 Musterhausen</w:t>
      </w:r>
    </w:p>
    <w:p>
      <w:pPr>
        <w:spacing w:after="240"/>
      </w:pPr>
      <w:r>
        <w:t>Beteiligte im Beschwerdeverfahren Verg 6/26</w:t>
      </w:r>
    </w:p>
    <w:p>
      <w:pPr>
        <w:pStyle w:val="Title"/>
      </w:pPr>
      <w:r>
        <w:t>Vergleich im Beschwerdeverfahren MID-STRAT-2026-07</w:t>
      </w:r>
    </w:p>
    <w:p>
      <w:r>
        <w:t>Die Beteiligten schließen zur Beendigung des Beschwerdeverfahrens folgenden Vergleich:</w:t>
      </w:r>
    </w:p>
    <w:p>
      <w:pPr>
        <w:pStyle w:val="Heading1"/>
      </w:pPr>
      <w:r>
        <w:t>1. Rückversetzung und Unterlagen</w:t>
      </w:r>
    </w:p>
    <w:p>
      <w:r>
        <w:t>Der Antragsgegner setzt den Teilnahmewettbewerb in den Stand vor Ablauf der Teilnahmefrist zurück. Das Kriterium der Entfernung oder des Unternehmenssitzes entfällt. Eine bereits bestehende Niederlassung im Umkreis des Ministeriums wird weder verlangt noch positiv bewertet.</w:t>
      </w:r>
    </w:p>
    <w:p>
      <w:pPr>
        <w:pStyle w:val="Heading1"/>
      </w:pPr>
      <w:r>
        <w:t>2. Funktionale Reaktionsanforderung</w:t>
      </w:r>
    </w:p>
    <w:p>
      <w:r>
        <w:t>Der Antragsgegner darf die in seiner Erwiderung beschriebenen Reaktionsstufen R1 bis R4 als funktionale Anforderungen verwenden. Bewertet werden nur verbindliche, mit Personal-, Bereitschafts- und Vertretungsplan hinterlegte Leistungszusagen. Der gegenwärtige Wohn-, Arbeits- oder Unternehmenssitz darf nicht als Ersatzindikator herangezogen werden.</w:t>
      </w:r>
    </w:p>
    <w:p>
      <w:pPr>
        <w:pStyle w:val="Heading1"/>
      </w:pPr>
      <w:r>
        <w:t>3. Transparenz und Gleichbehandlung</w:t>
      </w:r>
    </w:p>
    <w:p>
      <w:pPr>
        <w:pStyle w:val="ListNumber"/>
        <w:keepNext/>
        <w:keepLines/>
      </w:pPr>
      <w:r>
        <w:t>Die geänderte Auswahl- und Wertungsmatrix wird vollständig mit Bewertungsmaßstab veröffentlicht.</w:t>
      </w:r>
    </w:p>
    <w:p>
      <w:pPr>
        <w:pStyle w:val="ListNumber"/>
        <w:keepNext/>
        <w:keepLines/>
      </w:pPr>
      <w:r>
        <w:t>Alle registrierten Unternehmen erhalten dieselbe Fassung gleichzeitig.</w:t>
      </w:r>
    </w:p>
    <w:p>
      <w:pPr>
        <w:pStyle w:val="ListNumber"/>
        <w:keepNext/>
        <w:keepLines/>
      </w:pPr>
      <w:r>
        <w:t>Die neue Teilnahmefrist beträgt mindestens 20 Kalendertage ab Bereitstellung sämtlicher geänderter Unterlagen.</w:t>
      </w:r>
    </w:p>
    <w:p>
      <w:pPr>
        <w:pStyle w:val="ListNumber"/>
        <w:keepNext/>
        <w:keepLines/>
      </w:pPr>
      <w:r>
        <w:t>Bereits eingereichte Teilnahmeanträge können ersetzt oder bestätigt werden.</w:t>
      </w:r>
    </w:p>
    <w:p>
      <w:pPr>
        <w:pStyle w:val="ListNumber"/>
        <w:keepNext/>
        <w:keepLines/>
      </w:pPr>
      <w:r>
        <w:t>Die Vergabeakte dokumentiert Versionsstand, Versandzeitpunkt, Fragen, Antworten und Einzelbewertungen.</w:t>
      </w:r>
    </w:p>
    <w:p>
      <w:pPr>
        <w:pStyle w:val="Heading1"/>
        <w:keepNext/>
        <w:keepLines/>
      </w:pPr>
      <w:r>
        <w:t>4. Nachweisprüfung</w:t>
      </w:r>
    </w:p>
    <w:tbl>
      <w:tblPr>
        <w:tblStyle w:val="TableGrid"/>
        <w:tblW w:type="dxa" w:w="9071"/>
        <w:jc w:val="left"/>
        <w:tblLayout w:type="fixed"/>
        <w:tblLook w:firstColumn="1" w:firstRow="1" w:lastColumn="0" w:lastRow="0" w:noHBand="0" w:noVBand="1" w:val="04A0"/>
      </w:tblPr>
      <w:tblGrid>
        <w:gridCol w:w="2938"/>
        <w:gridCol w:w="2818"/>
        <w:gridCol w:w="3315"/>
      </w:tblGrid>
      <w:tr>
        <w:trPr>
          <w:tblHeader w:val="true"/>
          <w:cantSplit/>
        </w:trPr>
        <w:tc>
          <w:tcPr>
            <w:tcW w:type="dxa" w:w="29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w:t>
            </w:r>
          </w:p>
        </w:tc>
        <w:tc>
          <w:tcPr>
            <w:tcW w:type="dxa" w:w="2818"/>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Prüfgegenstand</w:t>
            </w:r>
          </w:p>
        </w:tc>
        <w:tc>
          <w:tcPr>
            <w:tcW w:type="dxa" w:w="3315"/>
            <w:vAlign w:val="top"/>
            <w:tcMar>
              <w:top w:w="60" w:type="dxa"/>
              <w:start w:w="90" w:type="dxa"/>
              <w:bottom w:w="60" w:type="dxa"/>
              <w:end w:w="90" w:type="dxa"/>
            </w:tcMar>
            <w:shd w:fill="01696F"/>
          </w:tcPr>
          <w:p>
            <w:pPr>
              <w:keepLines/>
              <w:spacing w:after="0"/>
            </w:pPr>
            <w:r/>
            <w:r>
              <w:rPr>
                <w:rFonts w:ascii="Times New Roman" w:hAnsi="Times New Roman"/>
                <w:b/>
                <w:color w:val="FFFFFF"/>
                <w:sz w:val="17"/>
              </w:rPr>
              <w:t>Keine zulässige Schlussfolgerung</w:t>
            </w:r>
          </w:p>
        </w:tc>
      </w:tr>
      <w:tr>
        <w:trPr>
          <w:cantSplit/>
        </w:trPr>
        <w:tc>
          <w:tcPr>
            <w:tcW w:type="dxa" w:w="2938"/>
            <w:vAlign w:val="top"/>
            <w:tcMar>
              <w:top w:w="60" w:type="dxa"/>
              <w:start w:w="90" w:type="dxa"/>
              <w:bottom w:w="60" w:type="dxa"/>
              <w:end w:w="90" w:type="dxa"/>
            </w:tcMar>
          </w:tcPr>
          <w:p>
            <w:pPr>
              <w:keepLines/>
              <w:spacing w:after="0"/>
            </w:pPr>
            <w:r/>
            <w:r>
              <w:rPr>
                <w:rFonts w:ascii="Times New Roman" w:hAnsi="Times New Roman"/>
                <w:sz w:val="17"/>
              </w:rPr>
              <w:t>Dienst- und Rufbereitschaftsplan</w:t>
            </w:r>
          </w:p>
        </w:tc>
        <w:tc>
          <w:tcPr>
            <w:tcW w:type="dxa" w:w="2818"/>
            <w:vAlign w:val="top"/>
            <w:tcMar>
              <w:top w:w="60" w:type="dxa"/>
              <w:start w:w="90" w:type="dxa"/>
              <w:bottom w:w="60" w:type="dxa"/>
              <w:end w:w="90" w:type="dxa"/>
            </w:tcMar>
          </w:tcPr>
          <w:p>
            <w:pPr>
              <w:keepLines/>
              <w:spacing w:after="0"/>
            </w:pPr>
            <w:r/>
            <w:r>
              <w:rPr>
                <w:rFonts w:ascii="Times New Roman" w:hAnsi="Times New Roman"/>
                <w:sz w:val="17"/>
              </w:rPr>
              <w:t>personelle Verfügbarkeit</w:t>
            </w:r>
          </w:p>
        </w:tc>
        <w:tc>
          <w:tcPr>
            <w:tcW w:type="dxa" w:w="3315"/>
            <w:vAlign w:val="top"/>
            <w:tcMar>
              <w:top w:w="60" w:type="dxa"/>
              <w:start w:w="90" w:type="dxa"/>
              <w:bottom w:w="60" w:type="dxa"/>
              <w:end w:w="90" w:type="dxa"/>
            </w:tcMar>
          </w:tcPr>
          <w:p>
            <w:pPr>
              <w:keepLines/>
              <w:spacing w:after="0"/>
            </w:pPr>
            <w:r/>
            <w:r>
              <w:rPr>
                <w:rFonts w:ascii="Times New Roman" w:hAnsi="Times New Roman"/>
                <w:sz w:val="17"/>
              </w:rPr>
              <w:t>bloße Nähe des Unternehmenssitzes</w:t>
            </w:r>
          </w:p>
        </w:tc>
      </w:tr>
      <w:tr>
        <w:trPr>
          <w:cantSplit/>
        </w:trPr>
        <w:tc>
          <w:tcPr>
            <w:tcW w:type="dxa" w:w="2938"/>
            <w:vAlign w:val="top"/>
            <w:tcMar>
              <w:top w:w="60" w:type="dxa"/>
              <w:start w:w="90" w:type="dxa"/>
              <w:bottom w:w="60" w:type="dxa"/>
              <w:end w:w="90" w:type="dxa"/>
            </w:tcMar>
            <w:shd w:fill="F1F3F3"/>
          </w:tcPr>
          <w:p>
            <w:pPr>
              <w:keepLines/>
              <w:spacing w:after="0"/>
            </w:pPr>
            <w:r/>
            <w:r>
              <w:rPr>
                <w:rFonts w:ascii="Times New Roman" w:hAnsi="Times New Roman"/>
                <w:sz w:val="17"/>
              </w:rPr>
              <w:t>Einsatz- und Routingkonzept</w:t>
            </w:r>
          </w:p>
        </w:tc>
        <w:tc>
          <w:tcPr>
            <w:tcW w:type="dxa" w:w="2818"/>
            <w:vAlign w:val="top"/>
            <w:tcMar>
              <w:top w:w="60" w:type="dxa"/>
              <w:start w:w="90" w:type="dxa"/>
              <w:bottom w:w="60" w:type="dxa"/>
              <w:end w:w="90" w:type="dxa"/>
            </w:tcMar>
            <w:shd w:fill="F1F3F3"/>
          </w:tcPr>
          <w:p>
            <w:pPr>
              <w:keepLines/>
              <w:spacing w:after="0"/>
            </w:pPr>
            <w:r/>
            <w:r>
              <w:rPr>
                <w:rFonts w:ascii="Times New Roman" w:hAnsi="Times New Roman"/>
                <w:sz w:val="17"/>
              </w:rPr>
              <w:t>realistische Eintreffzeit</w:t>
            </w:r>
          </w:p>
        </w:tc>
        <w:tc>
          <w:tcPr>
            <w:tcW w:type="dxa" w:w="3315"/>
            <w:vAlign w:val="top"/>
            <w:tcMar>
              <w:top w:w="60" w:type="dxa"/>
              <w:start w:w="90" w:type="dxa"/>
              <w:bottom w:w="60" w:type="dxa"/>
              <w:end w:w="90" w:type="dxa"/>
            </w:tcMar>
            <w:shd w:fill="F1F3F3"/>
          </w:tcPr>
          <w:p>
            <w:pPr>
              <w:keepLines/>
              <w:spacing w:after="0"/>
            </w:pPr>
            <w:r/>
            <w:r>
              <w:rPr>
                <w:rFonts w:ascii="Times New Roman" w:hAnsi="Times New Roman"/>
                <w:sz w:val="17"/>
              </w:rPr>
              <w:t>pauschaler Regionalbonus</w:t>
            </w:r>
          </w:p>
        </w:tc>
      </w:tr>
      <w:tr>
        <w:trPr>
          <w:cantSplit/>
        </w:trPr>
        <w:tc>
          <w:tcPr>
            <w:tcW w:type="dxa" w:w="2938"/>
            <w:vAlign w:val="top"/>
            <w:tcMar>
              <w:top w:w="60" w:type="dxa"/>
              <w:start w:w="90" w:type="dxa"/>
              <w:bottom w:w="60" w:type="dxa"/>
              <w:end w:w="90" w:type="dxa"/>
            </w:tcMar>
          </w:tcPr>
          <w:p>
            <w:pPr>
              <w:keepLines/>
              <w:spacing w:after="0"/>
            </w:pPr>
            <w:r/>
            <w:r>
              <w:rPr>
                <w:rFonts w:ascii="Times New Roman" w:hAnsi="Times New Roman"/>
                <w:sz w:val="17"/>
              </w:rPr>
              <w:t>Vertretungsplan</w:t>
            </w:r>
          </w:p>
        </w:tc>
        <w:tc>
          <w:tcPr>
            <w:tcW w:type="dxa" w:w="2818"/>
            <w:vAlign w:val="top"/>
            <w:tcMar>
              <w:top w:w="60" w:type="dxa"/>
              <w:start w:w="90" w:type="dxa"/>
              <w:bottom w:w="60" w:type="dxa"/>
              <w:end w:w="90" w:type="dxa"/>
            </w:tcMar>
          </w:tcPr>
          <w:p>
            <w:pPr>
              <w:keepLines/>
              <w:spacing w:after="0"/>
            </w:pPr>
            <w:r/>
            <w:r>
              <w:rPr>
                <w:rFonts w:ascii="Times New Roman" w:hAnsi="Times New Roman"/>
                <w:sz w:val="17"/>
              </w:rPr>
              <w:t>Ausfallreserven</w:t>
            </w:r>
          </w:p>
        </w:tc>
        <w:tc>
          <w:tcPr>
            <w:tcW w:type="dxa" w:w="3315"/>
            <w:vAlign w:val="top"/>
            <w:tcMar>
              <w:top w:w="60" w:type="dxa"/>
              <w:start w:w="90" w:type="dxa"/>
              <w:bottom w:w="60" w:type="dxa"/>
              <w:end w:w="90" w:type="dxa"/>
            </w:tcMar>
          </w:tcPr>
          <w:p>
            <w:pPr>
              <w:keepLines/>
              <w:spacing w:after="0"/>
            </w:pPr>
            <w:r/>
            <w:r>
              <w:rPr>
                <w:rFonts w:ascii="Times New Roman" w:hAnsi="Times New Roman"/>
                <w:sz w:val="17"/>
              </w:rPr>
              <w:t>Doppelwertung der Beschäftigtenzahl</w:t>
            </w:r>
          </w:p>
        </w:tc>
      </w:tr>
      <w:tr>
        <w:trPr>
          <w:cantSplit/>
        </w:trPr>
        <w:tc>
          <w:tcPr>
            <w:tcW w:type="dxa" w:w="2938"/>
            <w:vAlign w:val="top"/>
            <w:tcMar>
              <w:top w:w="60" w:type="dxa"/>
              <w:start w:w="90" w:type="dxa"/>
              <w:bottom w:w="60" w:type="dxa"/>
              <w:end w:w="90" w:type="dxa"/>
            </w:tcMar>
            <w:shd w:fill="F1F3F3"/>
          </w:tcPr>
          <w:p>
            <w:pPr>
              <w:keepLines/>
              <w:spacing w:after="0"/>
            </w:pPr>
            <w:r/>
            <w:r>
              <w:rPr>
                <w:rFonts w:ascii="Times New Roman" w:hAnsi="Times New Roman"/>
                <w:sz w:val="17"/>
              </w:rPr>
              <w:t>Referenz</w:t>
            </w:r>
          </w:p>
        </w:tc>
        <w:tc>
          <w:tcPr>
            <w:tcW w:type="dxa" w:w="2818"/>
            <w:vAlign w:val="top"/>
            <w:tcMar>
              <w:top w:w="60" w:type="dxa"/>
              <w:start w:w="90" w:type="dxa"/>
              <w:bottom w:w="60" w:type="dxa"/>
              <w:end w:w="90" w:type="dxa"/>
            </w:tcMar>
            <w:shd w:fill="F1F3F3"/>
          </w:tcPr>
          <w:p>
            <w:pPr>
              <w:keepLines/>
              <w:spacing w:after="0"/>
            </w:pPr>
            <w:r/>
            <w:r>
              <w:rPr>
                <w:rFonts w:ascii="Times New Roman" w:hAnsi="Times New Roman"/>
                <w:sz w:val="17"/>
              </w:rPr>
              <w:t>tatsächliche Krisenorganisation</w:t>
            </w:r>
          </w:p>
        </w:tc>
        <w:tc>
          <w:tcPr>
            <w:tcW w:type="dxa" w:w="3315"/>
            <w:vAlign w:val="top"/>
            <w:tcMar>
              <w:top w:w="60" w:type="dxa"/>
              <w:start w:w="90" w:type="dxa"/>
              <w:bottom w:w="60" w:type="dxa"/>
              <w:end w:w="90" w:type="dxa"/>
            </w:tcMar>
            <w:shd w:fill="F1F3F3"/>
          </w:tcPr>
          <w:p>
            <w:pPr>
              <w:keepLines/>
              <w:spacing w:after="0"/>
            </w:pPr>
            <w:r/>
            <w:r>
              <w:rPr>
                <w:rFonts w:ascii="Times New Roman" w:hAnsi="Times New Roman"/>
                <w:sz w:val="17"/>
              </w:rPr>
              <w:t>automatische Übertragung ohne Vergleichbarkeit</w:t>
            </w:r>
          </w:p>
        </w:tc>
      </w:tr>
    </w:tbl>
    <w:p>
      <w:pPr>
        <w:spacing w:after="0" w:before="40"/>
      </w:pPr>
    </w:p>
    <w:p>
      <w:pPr>
        <w:pStyle w:val="Heading1"/>
        <w:keepNext/>
        <w:keepLines/>
      </w:pPr>
      <w:r>
        <w:t>5. Kosten und Erledigung</w:t>
      </w:r>
    </w:p>
    <w:p>
      <w:pPr>
        <w:keepNext/>
        <w:keepLines/>
      </w:pPr>
      <w:r>
        <w:t>Die Gerichtskosten werden gegeneinander aufgehoben. Außergerichtliche Kosten trägt jeder Beteiligte selbst. Mit Wirksamwerden dieses Vergleichs ist das Beschwerdeverfahren beendet. Die Kostenentscheidung der Vergabekammer bleibt im Übrigen bestehen.</w:t>
      </w:r>
    </w:p>
    <w:p>
      <w:pPr>
        <w:keepLines/>
      </w:pPr>
      <w:r>
        <w:t>Vorgelesen, genehmigt und unterschrieben.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Verg 6/26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Oberlandesgericht Musterstadt - Vergabesenat</w:t>
      <w:t xml:space="preserve">  |  Verg 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Vergleich im Beschwerdeverfahren MID-STRAT-2026-07</dc:title>
  <dc:subject>Gerichtlicher Vergleich | Az. Verg 6/26</dc:subject>
  <dc:creator>Oberlandesgericht Musterstadt - Vergabesenat</dc:creator>
  <cp:keywords>Vergaberecht, Verg 6/26, Gerichtlicher Vergleich</cp:keywords>
  <dc:description>generated by python-docx</dc:description>
  <cp:lastModifiedBy>Oberlandesgericht Musterstadt - Vergabesenat</cp:lastModifiedBy>
  <cp:revision>1</cp:revision>
  <dcterms:created xsi:type="dcterms:W3CDTF">2000-01-01T00:00:00Z</dcterms:created>
  <dcterms:modified xsi:type="dcterms:W3CDTF">2000-01-01T00:00:00Z</dcterms:modified>
  <cp:category>Vergabeakte</cp:category>
</cp:coreProperties>
</file>