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5499"/>
        <w:gridCol w:w="3572"/>
      </w:tblGrid>
      <w:tr>
        <w:tc>
          <w:tcPr>
            <w:tcW w:type="dxa" w:w="5499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20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b/>
                <w:color w:val="01696F"/>
                <w:sz w:val="24"/>
              </w:rPr>
              <w:t>Ministerium des Innern Musterland - Zentrale Vergabestelle</w:t>
            </w:r>
          </w:p>
          <w:p>
            <w:pPr>
              <w:spacing w:after="0"/>
            </w:pPr>
            <w:r>
              <w:rPr>
                <w:color w:val="646464"/>
                <w:sz w:val="18"/>
              </w:rPr>
              <w:t>Schlossgasse 1, 88888 Musterhausen</w:t>
            </w:r>
          </w:p>
        </w:tc>
        <w:tc>
          <w:tcPr>
            <w:tcW w:type="dxa" w:w="3572"/>
            <w:vAlign w:val="top"/>
            <w:tcMar>
              <w:top w:w="0" w:type="dxa"/>
              <w:start w:w="0" w:type="dxa"/>
              <w:bottom w:w="100" w:type="dxa"/>
              <w:end w:w="0" w:type="dxa"/>
            </w:tcMar>
          </w:tcPr>
          <w:p>
            <w:pPr>
              <w:spacing w:after="0"/>
              <w:jc w:val="right"/>
              <w:pBdr>
                <w:bottom w:val="single" w:sz="6" w:space="5" w:color="01696F"/>
              </w:pBdr>
            </w:pPr>
            <w:r>
              <w:rPr>
                <w:rFonts w:ascii="Times New Roman" w:hAnsi="Times New Roman"/>
                <w:color w:val="646464"/>
                <w:sz w:val="18"/>
              </w:rPr>
              <w:t>Datum: 15.09.2026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Aktenzeichen: MID-STRAT-2026-07</w:t>
              <w:br/>
            </w:r>
            <w:r>
              <w:rPr>
                <w:rFonts w:ascii="Times New Roman" w:hAnsi="Times New Roman"/>
                <w:color w:val="646464"/>
                <w:sz w:val="18"/>
              </w:rPr>
              <w:t>Protokoll der Reaktionssimulation und Einzelwertung</w:t>
            </w:r>
          </w:p>
        </w:tc>
      </w:tr>
    </w:tbl>
    <w:p>
      <w:pPr>
        <w:spacing w:before="200" w:after="40"/>
      </w:pPr>
      <w:r>
        <w:rPr>
          <w:rFonts w:ascii="Times New Roman" w:hAnsi="Times New Roman"/>
          <w:color w:val="646464"/>
          <w:sz w:val="15"/>
        </w:rPr>
        <w:t>Ministerium des Innern Musterland - Zentrale Vergabestelle · Schlossgasse 1, 88888 Musterhausen</w:t>
      </w:r>
    </w:p>
    <w:p>
      <w:pPr>
        <w:spacing w:after="240"/>
      </w:pPr>
      <w:r>
        <w:t>Vergabeakte MID-STRAT-2026-07</w:t>
      </w:r>
    </w:p>
    <w:p>
      <w:pPr>
        <w:pStyle w:val="Title"/>
      </w:pPr>
      <w:r>
        <w:t>Einheitliche Prüfung der angebotenen Reaktionsleistung</w:t>
      </w:r>
    </w:p>
    <w:p>
      <w:pPr>
        <w:pStyle w:val="Heading1"/>
      </w:pPr>
      <w:r>
        <w:t>1. Gegenstand</w:t>
      </w:r>
    </w:p>
    <w:p>
      <w:r>
        <w:t>Die drei verbliebenen Bieterteams bearbeiteten am 14.09.2026 dasselbe veröffentlichte Szenario. Geprüft wurden nur verbindlich angebotene Abläufe; Anreiseort und Unternehmenssitz blieben unbewertet.</w:t>
      </w:r>
    </w:p>
    <w:p>
      <w:r>
        <w:t>Szenario: Ab 07:35 Uhr treffen gleichzeitig zwei Verschlüsselungsereignisse, auffällige privilegierte Anmeldungen und später der Ausfall einer Behörden-Telefonanlage ein. Gefordert waren Erstreaktion, Rollen, Mobilisierung, Wiederherstellungsprioritäten und Krisenstabsübergabe.</w:t>
      </w:r>
    </w:p>
    <w:p>
      <w:pPr>
        <w:pStyle w:val="Heading1"/>
      </w:pPr>
      <w:r>
        <w:t>2. Verfahrensgleichheit</w:t>
      </w:r>
    </w:p>
    <w:tbl>
      <w:tblPr>
        <w:tblStyle w:val="TableGrid"/>
        <w:tblW w:type="dxa" w:w="9070"/>
        <w:jc w:val="left"/>
        <w:tblLayout w:type="fixed"/>
        <w:tblLook w:firstColumn="1" w:firstRow="1" w:lastColumn="0" w:lastRow="0" w:noHBand="0" w:noVBand="1" w:val="04A0"/>
      </w:tblPr>
      <w:tblGrid>
        <w:gridCol w:w="2252"/>
        <w:gridCol w:w="3266"/>
        <w:gridCol w:w="3552"/>
      </w:tblGrid>
      <w:tr>
        <w:trPr>
          <w:tblHeader w:val="true"/>
          <w:cantSplit/>
        </w:trPr>
        <w:tc>
          <w:tcPr>
            <w:tcW w:type="dxa" w:w="22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Kontrollpunkt</w:t>
            </w:r>
          </w:p>
        </w:tc>
        <w:tc>
          <w:tcPr>
            <w:tcW w:type="dxa" w:w="32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Vorgabe</w:t>
            </w:r>
          </w:p>
        </w:tc>
        <w:tc>
          <w:tcPr>
            <w:tcW w:type="dxa" w:w="35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Vollzug</w:t>
            </w:r>
          </w:p>
        </w:tc>
      </w:tr>
      <w:tr>
        <w:trPr>
          <w:cantSplit/>
        </w:trPr>
        <w:tc>
          <w:tcPr>
            <w:tcW w:type="dxa" w:w="22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Vorbereitungszeit</w:t>
            </w:r>
          </w:p>
        </w:tc>
        <w:tc>
          <w:tcPr>
            <w:tcW w:type="dxa" w:w="32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30 Minuten</w:t>
            </w:r>
          </w:p>
        </w:tc>
        <w:tc>
          <w:tcPr>
            <w:tcW w:type="dxa" w:w="35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Beginn für alle Teams nach dokumentiertem Download</w:t>
            </w:r>
          </w:p>
        </w:tc>
      </w:tr>
      <w:tr>
        <w:trPr>
          <w:cantSplit/>
        </w:trPr>
        <w:tc>
          <w:tcPr>
            <w:tcW w:type="dxa" w:w="22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Präsentation</w:t>
            </w:r>
          </w:p>
        </w:tc>
        <w:tc>
          <w:tcPr>
            <w:tcW w:type="dxa" w:w="32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25 Minuten</w:t>
            </w:r>
          </w:p>
        </w:tc>
        <w:tc>
          <w:tcPr>
            <w:tcW w:type="dxa" w:w="35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Zeitwächterin stoppte bei Minute 25</w:t>
            </w:r>
          </w:p>
        </w:tc>
      </w:tr>
      <w:tr>
        <w:trPr>
          <w:cantSplit/>
        </w:trPr>
        <w:tc>
          <w:tcPr>
            <w:tcW w:type="dxa" w:w="22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Rückfragen</w:t>
            </w:r>
          </w:p>
        </w:tc>
        <w:tc>
          <w:tcPr>
            <w:tcW w:type="dxa" w:w="32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sechs vorab festgelegte Fragen, 20 Minuten</w:t>
            </w:r>
          </w:p>
        </w:tc>
        <w:tc>
          <w:tcPr>
            <w:tcW w:type="dxa" w:w="35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gleiche Reihenfolge; spontane Nachfrage nur zum Verständnis</w:t>
            </w:r>
          </w:p>
        </w:tc>
      </w:tr>
      <w:tr>
        <w:trPr>
          <w:cantSplit/>
        </w:trPr>
        <w:tc>
          <w:tcPr>
            <w:tcW w:type="dxa" w:w="22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Hilfsmittel</w:t>
            </w:r>
          </w:p>
        </w:tc>
        <w:tc>
          <w:tcPr>
            <w:tcW w:type="dxa" w:w="32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Angebotsunterlagen, Whiteboard, kein Internet</w:t>
            </w:r>
          </w:p>
        </w:tc>
        <w:tc>
          <w:tcPr>
            <w:tcW w:type="dxa" w:w="35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Raumkontrolle dokumentiert</w:t>
            </w:r>
          </w:p>
        </w:tc>
      </w:tr>
      <w:tr>
        <w:trPr>
          <w:cantSplit/>
        </w:trPr>
        <w:tc>
          <w:tcPr>
            <w:tcW w:type="dxa" w:w="22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Bewertung</w:t>
            </w:r>
          </w:p>
        </w:tc>
        <w:tc>
          <w:tcPr>
            <w:tcW w:type="dxa" w:w="326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drei Einzelwertungen vor Konsens</w:t>
            </w:r>
          </w:p>
        </w:tc>
        <w:tc>
          <w:tcPr>
            <w:tcW w:type="dxa" w:w="355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Einzelbögen um 13:42 Uhr schreibgeschützt archiviert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3. Tatsächlicher Ablauf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322"/>
        <w:gridCol w:w="1892"/>
        <w:gridCol w:w="1808"/>
        <w:gridCol w:w="1908"/>
        <w:gridCol w:w="2141"/>
      </w:tblGrid>
      <w:tr>
        <w:trPr>
          <w:tblHeader w:val="true"/>
          <w:cantSplit/>
        </w:trPr>
        <w:tc>
          <w:tcPr>
            <w:tcW w:type="dxa" w:w="13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Team</w:t>
            </w:r>
          </w:p>
        </w:tc>
        <w:tc>
          <w:tcPr>
            <w:tcW w:type="dxa" w:w="189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Erstreaktion</w:t>
            </w:r>
          </w:p>
        </w:tc>
        <w:tc>
          <w:tcPr>
            <w:tcW w:type="dxa" w:w="18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parallele Einsatzführung</w:t>
            </w:r>
          </w:p>
        </w:tc>
        <w:tc>
          <w:tcPr>
            <w:tcW w:type="dxa" w:w="19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Vor-Ort-Mobilisierung</w:t>
            </w:r>
          </w:p>
        </w:tc>
        <w:tc>
          <w:tcPr>
            <w:tcW w:type="dxa" w:w="214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Wiederherstellungsübergabe</w:t>
            </w:r>
          </w:p>
        </w:tc>
      </w:tr>
      <w:tr>
        <w:trPr>
          <w:cantSplit/>
        </w:trPr>
        <w:tc>
          <w:tcPr>
            <w:tcW w:type="dxa" w:w="13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Beratung Mustertal / Secure Response</w:t>
            </w:r>
          </w:p>
        </w:tc>
        <w:tc>
          <w:tcPr>
            <w:tcW w:type="dxa" w:w="189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Incident Lead nach 8 Minuten benannt; Kommunikationskanal nach 11 Minuten eröffnet</w:t>
            </w:r>
          </w:p>
        </w:tc>
        <w:tc>
          <w:tcPr>
            <w:tcW w:type="dxa" w:w="18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zwei Workstreams mit gemeinsamer Lagekarte</w:t>
            </w:r>
          </w:p>
        </w:tc>
        <w:tc>
          <w:tcPr>
            <w:tcW w:type="dxa" w:w="19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Lead Süd ab 08:20 Uhr abfahrbereit, Ersatzroute benannt</w:t>
            </w:r>
          </w:p>
        </w:tc>
        <w:tc>
          <w:tcPr>
            <w:tcW w:type="dxa" w:w="214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Identitätsdienst priorisiert; Übergabepaket mit Entscheidungslog</w:t>
            </w:r>
          </w:p>
        </w:tc>
      </w:tr>
      <w:tr>
        <w:trPr>
          <w:cantSplit/>
        </w:trPr>
        <w:tc>
          <w:tcPr>
            <w:tcW w:type="dxa" w:w="13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HanseCyber Consulting</w:t>
            </w:r>
          </w:p>
        </w:tc>
        <w:tc>
          <w:tcPr>
            <w:tcW w:type="dxa" w:w="189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Incident Lead nach 6 Minuten benannt</w:t>
            </w:r>
          </w:p>
        </w:tc>
        <w:tc>
          <w:tcPr>
            <w:tcW w:type="dxa" w:w="18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zweiter Workstream erst nach Hinweis des Gremiums</w:t>
            </w:r>
          </w:p>
        </w:tc>
        <w:tc>
          <w:tcPr>
            <w:tcW w:type="dxa" w:w="19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Anreise aus regionalem Partnerpool, konkrete Person nicht im Angebot</w:t>
            </w:r>
          </w:p>
        </w:tc>
        <w:tc>
          <w:tcPr>
            <w:tcW w:type="dxa" w:w="214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technische Wiederherstellung plausibel, Behördenkommunikation spät</w:t>
            </w:r>
          </w:p>
        </w:tc>
      </w:tr>
      <w:tr>
        <w:trPr>
          <w:cantSplit/>
        </w:trPr>
        <w:tc>
          <w:tcPr>
            <w:tcW w:type="dxa" w:w="132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Resilience Partners AG</w:t>
            </w:r>
          </w:p>
        </w:tc>
        <w:tc>
          <w:tcPr>
            <w:tcW w:type="dxa" w:w="189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Erstmeldung nach 14 Minuten</w:t>
            </w:r>
          </w:p>
        </w:tc>
        <w:tc>
          <w:tcPr>
            <w:tcW w:type="dxa" w:w="18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drei Streams, aber unklare Entscheidungsbefugnis</w:t>
            </w:r>
          </w:p>
        </w:tc>
        <w:tc>
          <w:tcPr>
            <w:tcW w:type="dxa" w:w="1908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zwei namentlich benannte Personen und Bahn-/Fahrzeugoption</w:t>
            </w:r>
          </w:p>
        </w:tc>
        <w:tc>
          <w:tcPr>
            <w:tcW w:type="dxa" w:w="214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vollständige Checkliste, Priorisierung der Telefonanlage nicht begründet</w:t>
            </w:r>
          </w:p>
        </w:tc>
      </w:tr>
    </w:tbl>
    <w:p>
      <w:pPr>
        <w:spacing w:after="0" w:before="40"/>
      </w:pPr>
    </w:p>
    <w:p>
      <w:pPr>
        <w:pStyle w:val="Heading1"/>
        <w:keepNext/>
        <w:keepLines/>
      </w:pPr>
      <w:r>
        <w:t>4. Einzelwertungen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742"/>
        <w:gridCol w:w="1606"/>
        <w:gridCol w:w="1606"/>
        <w:gridCol w:w="1606"/>
        <w:gridCol w:w="2511"/>
      </w:tblGrid>
      <w:tr>
        <w:trPr>
          <w:tblHeader w:val="true"/>
          <w:cantSplit/>
        </w:trPr>
        <w:tc>
          <w:tcPr>
            <w:tcW w:type="dxa" w:w="174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Bewertende Person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Mustertal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HanseCyber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Resilience</w:t>
            </w:r>
          </w:p>
        </w:tc>
        <w:tc>
          <w:tcPr>
            <w:tcW w:type="dxa" w:w="251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wesentlicher Abweichungsgrund</w:t>
            </w:r>
          </w:p>
        </w:tc>
      </w:tr>
      <w:tr>
        <w:trPr>
          <w:cantSplit/>
        </w:trPr>
        <w:tc>
          <w:tcPr>
            <w:tcW w:type="dxa" w:w="174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Dr. Miriam Falk, CISO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13.5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10.0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11.5</w:t>
            </w:r>
          </w:p>
        </w:tc>
        <w:tc>
          <w:tcPr>
            <w:tcW w:type="dxa" w:w="251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technische Parallelisierung</w:t>
            </w:r>
          </w:p>
        </w:tc>
      </w:tr>
      <w:tr>
        <w:trPr>
          <w:cantSplit/>
        </w:trPr>
        <w:tc>
          <w:tcPr>
            <w:tcW w:type="dxa" w:w="174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Jonas Marten, Krisenstab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14.0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9.5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12.0</w:t>
            </w:r>
          </w:p>
        </w:tc>
        <w:tc>
          <w:tcPr>
            <w:tcW w:type="dxa" w:w="251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Behördenkommunikation und Übergabe</w:t>
            </w:r>
          </w:p>
        </w:tc>
      </w:tr>
      <w:tr>
        <w:trPr>
          <w:cantSplit/>
        </w:trPr>
        <w:tc>
          <w:tcPr>
            <w:tcW w:type="dxa" w:w="1742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Eva Scholl, Beschaffung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12.5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10.5</w:t>
            </w:r>
          </w:p>
        </w:tc>
        <w:tc>
          <w:tcPr>
            <w:tcW w:type="dxa" w:w="160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11.0</w:t>
            </w:r>
          </w:p>
        </w:tc>
        <w:tc>
          <w:tcPr>
            <w:tcW w:type="dxa" w:w="251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Bindung an veröffentlichte Angebotszusagen</w:t>
            </w:r>
          </w:p>
        </w:tc>
      </w:tr>
    </w:tbl>
    <w:p>
      <w:pPr>
        <w:spacing w:after="0" w:before="40"/>
      </w:pPr>
    </w:p>
    <w:p>
      <w:pPr>
        <w:keepNext/>
        <w:keepLines/>
      </w:pPr>
      <w:r>
        <w:t>Höchstwert waren 15 Punkte. Die Abweichung bei Mustertal beruht darauf, dass Eva Scholl den Ersatzreiseweg zunächst als neue Präsentationsaussage ansah. Die Angebotsanlage M-07_Mobilisierung.pdf, Seite 6, enthält den Ersatzweg jedoch bereits. Die Konsensrunde durfte diese fristgebundene Fundstelle berücksichtigen.</w:t>
      </w:r>
    </w:p>
    <w:p>
      <w:pPr>
        <w:pStyle w:val="Heading1"/>
        <w:keepNext/>
        <w:keepLines/>
      </w:pPr>
      <w:r>
        <w:t>5. Konsensentscheidung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046"/>
        <w:gridCol w:w="1563"/>
        <w:gridCol w:w="1563"/>
        <w:gridCol w:w="1563"/>
        <w:gridCol w:w="2336"/>
      </w:tblGrid>
      <w:tr>
        <w:trPr>
          <w:tblHeader w:val="true"/>
          <w:cantSplit/>
        </w:trPr>
        <w:tc>
          <w:tcPr>
            <w:tcW w:type="dxa" w:w="204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Unterkriterium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Mustertal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HanseCyber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Resilience</w:t>
            </w:r>
          </w:p>
        </w:tc>
        <w:tc>
          <w:tcPr>
            <w:tcW w:type="dxa" w:w="233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tragender Grund</w:t>
            </w:r>
          </w:p>
        </w:tc>
      </w:tr>
      <w:tr>
        <w:trPr>
          <w:cantSplit/>
        </w:trPr>
        <w:tc>
          <w:tcPr>
            <w:tcW w:type="dxa" w:w="204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Erstreaktion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4.5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5.0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3.5</w:t>
            </w:r>
          </w:p>
        </w:tc>
        <w:tc>
          <w:tcPr>
            <w:tcW w:type="dxa" w:w="233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Messpunkt, Rolle und Vertretung</w:t>
            </w:r>
          </w:p>
        </w:tc>
      </w:tr>
      <w:tr>
        <w:trPr>
          <w:cantSplit/>
        </w:trPr>
        <w:tc>
          <w:tcPr>
            <w:tcW w:type="dxa" w:w="204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Mobilisierung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4.5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2.5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4.0</w:t>
            </w:r>
          </w:p>
        </w:tc>
        <w:tc>
          <w:tcPr>
            <w:tcW w:type="dxa" w:w="233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namentliche Ressourcen und Ersatzroute</w:t>
            </w:r>
          </w:p>
        </w:tc>
      </w:tr>
      <w:tr>
        <w:trPr>
          <w:cantSplit/>
        </w:trPr>
        <w:tc>
          <w:tcPr>
            <w:tcW w:type="dxa" w:w="204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Wiederherstellung und Übergabe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4.5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3.0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4.0</w:t>
            </w:r>
          </w:p>
        </w:tc>
        <w:tc>
          <w:tcPr>
            <w:tcW w:type="dxa" w:w="233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Priorisierung, Entscheidungslog und Übergabepunkt</w:t>
            </w:r>
          </w:p>
        </w:tc>
      </w:tr>
      <w:tr>
        <w:trPr>
          <w:cantSplit/>
        </w:trPr>
        <w:tc>
          <w:tcPr>
            <w:tcW w:type="dxa" w:w="204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Gesamt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13.5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10.5</w:t>
            </w:r>
          </w:p>
        </w:tc>
        <w:tc>
          <w:tcPr>
            <w:tcW w:type="dxa" w:w="1563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11.5</w:t>
            </w:r>
          </w:p>
        </w:tc>
        <w:tc>
          <w:tcPr>
            <w:tcW w:type="dxa" w:w="2336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Summe der veröffentlichten Unterkriterien</w:t>
            </w:r>
          </w:p>
        </w:tc>
      </w:tr>
    </w:tbl>
    <w:p>
      <w:pPr>
        <w:spacing w:after="0" w:before="40"/>
      </w:pPr>
    </w:p>
    <w:p>
      <w:pPr>
        <w:keepNext/>
        <w:keepLines/>
      </w:pPr>
      <w:r>
        <w:t>Die sechsminütige Erstreaktion von HanseCyber führt nicht automatisch zum besten Gesamtergebnis. Das Angebot ließ die Besetzung des parallelen zweiten Vorfalls und die konkrete Vor-Ort-Ressource offen. Mustertal war nicht wegen räumlicher Nähe besser, sondern wegen der schon im Angebot zugesagten Rollen, Vertretung, Ersatzroute und protokollierten Übergabe.</w:t>
      </w:r>
    </w:p>
    <w:p>
      <w:pPr>
        <w:pStyle w:val="Heading1"/>
        <w:keepNext/>
        <w:keepLines/>
      </w:pPr>
      <w:r>
        <w:t>6. Beleg- und Integritätsliste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720"/>
        <w:gridCol w:w="2861"/>
        <w:gridCol w:w="3490"/>
      </w:tblGrid>
      <w:tr>
        <w:trPr>
          <w:tblHeader w:val="true"/>
          <w:cantSplit/>
        </w:trPr>
        <w:tc>
          <w:tcPr>
            <w:tcW w:type="dxa" w:w="272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Beleg</w:t>
            </w:r>
          </w:p>
        </w:tc>
        <w:tc>
          <w:tcPr>
            <w:tcW w:type="dxa" w:w="28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Zeitstempel</w:t>
            </w:r>
          </w:p>
        </w:tc>
        <w:tc>
          <w:tcPr>
            <w:tcW w:type="dxa" w:w="349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01696F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72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Szenariodatei SIM-01.pdf</w:t>
            </w:r>
          </w:p>
        </w:tc>
        <w:tc>
          <w:tcPr>
            <w:tcW w:type="dxa" w:w="28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14.09.2026, 07:00 Uhr</w:t>
            </w:r>
          </w:p>
        </w:tc>
        <w:tc>
          <w:tcPr>
            <w:tcW w:type="dxa" w:w="349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für alle Teams identisch</w:t>
            </w:r>
          </w:p>
        </w:tc>
      </w:tr>
      <w:tr>
        <w:trPr>
          <w:cantSplit/>
        </w:trPr>
        <w:tc>
          <w:tcPr>
            <w:tcW w:type="dxa" w:w="272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Raumprotokolle</w:t>
            </w:r>
          </w:p>
        </w:tc>
        <w:tc>
          <w:tcPr>
            <w:tcW w:type="dxa" w:w="28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je Termin unmittelbar geschlossen</w:t>
            </w:r>
          </w:p>
        </w:tc>
        <w:tc>
          <w:tcPr>
            <w:tcW w:type="dxa" w:w="349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von Zeitwächterin und Teamvertretung gezeichnet</w:t>
            </w:r>
          </w:p>
        </w:tc>
      </w:tr>
      <w:tr>
        <w:trPr>
          <w:cantSplit/>
        </w:trPr>
        <w:tc>
          <w:tcPr>
            <w:tcW w:type="dxa" w:w="272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Einzelbögen</w:t>
            </w:r>
          </w:p>
        </w:tc>
        <w:tc>
          <w:tcPr>
            <w:tcW w:type="dxa" w:w="28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14.09.2026, 13:42 Uhr</w:t>
            </w:r>
          </w:p>
        </w:tc>
        <w:tc>
          <w:tcPr>
            <w:tcW w:type="dxa" w:w="349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schreibgeschützt, Hashliste in Vergabeakte</w:t>
            </w:r>
          </w:p>
        </w:tc>
      </w:tr>
      <w:tr>
        <w:trPr>
          <w:cantSplit/>
        </w:trPr>
        <w:tc>
          <w:tcPr>
            <w:tcW w:type="dxa" w:w="272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Konsensprotokoll</w:t>
            </w:r>
          </w:p>
        </w:tc>
        <w:tc>
          <w:tcPr>
            <w:tcW w:type="dxa" w:w="28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15.09.2026, 10:18 Uhr</w:t>
            </w:r>
          </w:p>
        </w:tc>
        <w:tc>
          <w:tcPr>
            <w:tcW w:type="dxa" w:w="349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  <w:shd w:fill="F1F3F3"/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Gründe je Abweichung dokumentiert</w:t>
            </w:r>
          </w:p>
        </w:tc>
      </w:tr>
      <w:tr>
        <w:trPr>
          <w:cantSplit/>
        </w:trPr>
        <w:tc>
          <w:tcPr>
            <w:tcW w:type="dxa" w:w="272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Angebotsfundstellen</w:t>
            </w:r>
          </w:p>
        </w:tc>
        <w:tc>
          <w:tcPr>
            <w:tcW w:type="dxa" w:w="2861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Angebotsfreeze 31.08.2026</w:t>
            </w:r>
          </w:p>
        </w:tc>
        <w:tc>
          <w:tcPr>
            <w:tcW w:type="dxa" w:w="3490"/>
            <w:vAlign w:val="top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Lines/>
              <w:spacing w:after="0"/>
            </w:pPr>
            <w:r/>
            <w:r>
              <w:rPr>
                <w:rFonts w:ascii="Times New Roman" w:hAnsi="Times New Roman"/>
                <w:sz w:val="17"/>
              </w:rPr>
              <w:t>keine spätere Leistungszusage berücksichtigt</w:t>
            </w:r>
          </w:p>
        </w:tc>
      </w:tr>
    </w:tbl>
    <w:p>
      <w:pPr>
        <w:spacing w:after="0" w:before="40"/>
      </w:pPr>
    </w:p>
    <w:p>
      <w:pPr>
        <w:keepLines/>
      </w:pPr>
      <w:r>
        <w:t>Dr. Miriam Falk; Jonas Marten; Eva Scholl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417" w:bottom="935" w:left="141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/>
        <w:color w:val="646464"/>
        <w:sz w:val="16"/>
      </w:rPr>
      <w:t>Aktenstück</w:t>
      <w:t xml:space="preserve">  |  MID-STRAT-2026-07</w:t>
      <w:t xml:space="preserve">  |  Seite </w:t>
    </w:r>
    <w:r>
      <w:rPr>
        <w:rFonts w:ascii="Times New Roman" w:hAnsi="Times New Roman"/>
        <w:color w:val="64646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/>
        <w:color w:val="646464"/>
        <w:sz w:val="16"/>
      </w:rPr>
      <w:t>Ministerium des Innern Musterland - Zentrale Vergabestelle</w:t>
      <w:t xml:space="preserve">  |  MID-STRAT-2026-07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hAnsi="Times New Roman" w:eastAsia="Times New Roman"/>
      <w:b w:val="0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1696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6464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1696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Times New Roman" w:hAnsi="Times New Roman" w:eastAsia="Times New Roman"/>
      <w:b w:val="0"/>
      <w:color w:val="1F1F1F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Einheitliche Prüfung der angebotenen Reaktionsleistung</dc:title>
  <dc:subject>Protokoll der Reaktionssimulation und Einzelwertung | Az. MID-STRAT-2026-07</dc:subject>
  <dc:creator>Ministerium des Innern Musterland - Zentrale Vergabestelle</dc:creator>
  <cp:keywords>Vergaberecht, MID-STRAT-2026-07, Protokoll der Reaktionssimulation und Einzelwertung</cp:keywords>
  <dc:description>generated by python-docx</dc:description>
  <cp:lastModifiedBy>Ministerium des Innern Musterland - Zentrale Vergabestelle</cp:lastModifiedBy>
  <cp:revision>1</cp:revision>
  <dcterms:created xsi:type="dcterms:W3CDTF">2000-01-01T00:00:00Z</dcterms:created>
  <dcterms:modified xsi:type="dcterms:W3CDTF">2000-01-01T00:00:00Z</dcterms:modified>
  <cp:category>Vergabeakte</cp:category>
</cp:coreProperties>
</file>