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dxa" w:w="9071"/>
        <w:jc w:val="left"/>
        <w:tblLayout w:type="fixed"/>
        <w:tblLook w:firstColumn="1" w:firstRow="1" w:lastColumn="0" w:lastRow="0" w:noHBand="0" w:noVBand="1" w:val="04A0"/>
      </w:tblPr>
      <w:tblGrid>
        <w:gridCol w:w="5499"/>
        <w:gridCol w:w="3572"/>
      </w:tblGrid>
      <w:tr>
        <w:tc>
          <w:tcPr>
            <w:tcW w:type="dxa" w:w="5499"/>
            <w:vAlign w:val="top"/>
            <w:tcMar>
              <w:top w:w="0" w:type="dxa"/>
              <w:start w:w="0" w:type="dxa"/>
              <w:bottom w:w="100" w:type="dxa"/>
              <w:end w:w="0" w:type="dxa"/>
            </w:tcMar>
          </w:tcPr>
          <w:p>
            <w:pPr>
              <w:spacing w:after="20"/>
              <w:pBdr>
                <w:bottom w:val="single" w:sz="6" w:space="5" w:color="01696F"/>
              </w:pBdr>
            </w:pPr>
            <w:r>
              <w:rPr>
                <w:rFonts w:ascii="Times New Roman" w:hAnsi="Times New Roman"/>
                <w:b/>
                <w:color w:val="01696F"/>
                <w:sz w:val="24"/>
              </w:rPr>
              <w:t>Stadt Hafenburg - Amt für Digitalisierung</w:t>
            </w:r>
          </w:p>
          <w:p>
            <w:pPr>
              <w:spacing w:after="0"/>
            </w:pPr>
            <w:r>
              <w:rPr>
                <w:color w:val="646464"/>
                <w:sz w:val="18"/>
              </w:rPr>
              <w:t>Hafenallee 12, 21079 Hafenburg</w:t>
            </w:r>
          </w:p>
        </w:tc>
        <w:tc>
          <w:tcPr>
            <w:tcW w:type="dxa" w:w="3572"/>
            <w:vAlign w:val="top"/>
            <w:tcMar>
              <w:top w:w="0" w:type="dxa"/>
              <w:start w:w="0" w:type="dxa"/>
              <w:bottom w:w="100" w:type="dxa"/>
              <w:end w:w="0" w:type="dxa"/>
            </w:tcMar>
          </w:tcPr>
          <w:p>
            <w:pPr>
              <w:spacing w:after="0"/>
              <w:jc w:val="right"/>
              <w:pBdr>
                <w:bottom w:val="single" w:sz="6" w:space="5" w:color="01696F"/>
              </w:pBdr>
            </w:pPr>
            <w:r>
              <w:rPr>
                <w:rFonts w:ascii="Times New Roman" w:hAnsi="Times New Roman"/>
                <w:color w:val="646464"/>
                <w:sz w:val="18"/>
              </w:rPr>
              <w:t>Datum: 02.11.2026</w:t>
              <w:br/>
            </w:r>
            <w:r>
              <w:rPr>
                <w:rFonts w:ascii="Times New Roman" w:hAnsi="Times New Roman"/>
                <w:color w:val="646464"/>
                <w:sz w:val="18"/>
              </w:rPr>
              <w:t>Aktenzeichen: HB-IT-SERVICE-2026</w:t>
              <w:br/>
            </w:r>
            <w:r>
              <w:rPr>
                <w:rFonts w:ascii="Times New Roman" w:hAnsi="Times New Roman"/>
                <w:color w:val="646464"/>
                <w:sz w:val="18"/>
              </w:rPr>
              <w:t>Vergaberechtlicher Prüfvermerk</w:t>
            </w:r>
          </w:p>
        </w:tc>
      </w:tr>
    </w:tbl>
    <w:p>
      <w:pPr>
        <w:spacing w:before="200" w:after="40"/>
      </w:pPr>
      <w:r>
        <w:rPr>
          <w:rFonts w:ascii="Times New Roman" w:hAnsi="Times New Roman"/>
          <w:color w:val="646464"/>
          <w:sz w:val="15"/>
        </w:rPr>
        <w:t>Stadt Hafenburg - Amt für Digitalisierung · Hafenallee 12, 21079 Hafenburg</w:t>
      </w:r>
    </w:p>
    <w:p>
      <w:pPr>
        <w:spacing w:after="240"/>
      </w:pPr>
      <w:r>
        <w:t>Interne Vergabe- und Rechtsakte</w:t>
      </w:r>
    </w:p>
    <w:p>
      <w:pPr>
        <w:pStyle w:val="Title"/>
      </w:pPr>
      <w:r>
        <w:t>Auftragnehmerwechsel nach Insolvenz - Prüfung nach § 132 GWB</w:t>
      </w:r>
    </w:p>
    <w:p>
      <w:pPr>
        <w:pStyle w:val="Heading1"/>
      </w:pPr>
      <w:r>
        <w:t>Prüffrage</w:t>
      </w:r>
    </w:p>
    <w:p>
      <w:r>
        <w:t>Darf die Stadt Hafenburg den laufenden IT-Servicevertrag ohne neues Vergabeverfahren von der insolventen NordSys Services GmbH auf die NordSys Betriebserwerber GmbH übergehen lassen?</w:t>
      </w:r>
    </w:p>
    <w:p>
      <w:pPr>
        <w:pStyle w:val="Heading1"/>
      </w:pPr>
      <w:r>
        <w:t>Normativer Ausgangspunkt</w:t>
      </w:r>
    </w:p>
    <w:p>
      <w:r>
        <w:t>§ 132 Abs. 1 GWB verlangt bei wesentlichen Änderungen eines öffentlichen Auftrags während der Vertragslaufzeit ein neues Vergabeverfahren. Ein Auftragnehmerwechsel ist nach § 132 Abs. 1 Satz 3 Nr. 4 GWB wesentlich, sofern er nicht unter § 132 Abs. 2 Satz 1 Nr. 4 Buchstabe b GWB fällt.</w:t>
      </w:r>
    </w:p>
    <w:p>
      <w:r>
        <w:t>§ 132 Abs. 2 Satz 1 Nr. 4 Buchstabe b GWB erlaubt den Eintritt eines anderen Unternehmens im Zuge einer Unternehmensumstrukturierung, zum Beispiel durch Übernahme, Zusammenschluss, Erwerb oder Insolvenz, wenn der neue Träger die ursprünglich festgelegten Eignungsanforderungen erfüllt und keine weitere wesentliche Änderung folgt.</w:t>
      </w:r>
    </w:p>
    <w:p>
      <w:pPr>
        <w:pStyle w:val="Heading1"/>
      </w:pPr>
      <w:r>
        <w:t>Matrix</w:t>
      </w:r>
    </w:p>
    <w:tbl>
      <w:tblPr>
        <w:tblStyle w:val="TableGrid"/>
        <w:tblW w:type="dxa" w:w="9071"/>
        <w:jc w:val="left"/>
        <w:tblLayout w:type="fixed"/>
        <w:tblLook w:firstColumn="1" w:firstRow="1" w:lastColumn="0" w:lastRow="0" w:noHBand="0" w:noVBand="1" w:val="04A0"/>
      </w:tblPr>
      <w:tblGrid>
        <w:gridCol w:w="2470"/>
        <w:gridCol w:w="3399"/>
        <w:gridCol w:w="3202"/>
      </w:tblGrid>
      <w:tr>
        <w:trPr>
          <w:tblHeader w:val="true"/>
          <w:cantSplit/>
        </w:trPr>
        <w:tc>
          <w:tcPr>
            <w:tcW w:type="dxa" w:w="2470"/>
            <w:vAlign w:val="top"/>
            <w:tcMar>
              <w:top w:w="60" w:type="dxa"/>
              <w:start w:w="90" w:type="dxa"/>
              <w:bottom w:w="60" w:type="dxa"/>
              <w:end w:w="90" w:type="dxa"/>
            </w:tcMar>
            <w:shd w:fill="01696F"/>
          </w:tcPr>
          <w:p>
            <w:pPr>
              <w:keepLines/>
              <w:spacing w:after="0"/>
            </w:pPr>
            <w:r/>
            <w:r>
              <w:rPr>
                <w:rFonts w:ascii="Times New Roman" w:hAnsi="Times New Roman"/>
                <w:b/>
                <w:color w:val="FFFFFF"/>
                <w:sz w:val="17"/>
              </w:rPr>
              <w:t>Prüfpunkt</w:t>
            </w:r>
          </w:p>
        </w:tc>
        <w:tc>
          <w:tcPr>
            <w:tcW w:type="dxa" w:w="3399"/>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Befund</w:t>
            </w:r>
          </w:p>
        </w:tc>
        <w:tc>
          <w:tcPr>
            <w:tcW w:type="dxa" w:w="3202"/>
            <w:vAlign w:val="top"/>
            <w:tcMar>
              <w:top w:w="60" w:type="dxa"/>
              <w:start w:w="90" w:type="dxa"/>
              <w:bottom w:w="60" w:type="dxa"/>
              <w:end w:w="90" w:type="dxa"/>
            </w:tcMar>
            <w:shd w:fill="01696F"/>
          </w:tcPr>
          <w:p>
            <w:pPr>
              <w:keepLines/>
              <w:spacing w:after="0"/>
            </w:pPr>
            <w:r/>
            <w:r>
              <w:rPr>
                <w:rFonts w:ascii="Times New Roman" w:hAnsi="Times New Roman"/>
                <w:b/>
                <w:color w:val="FFFFFF"/>
                <w:sz w:val="17"/>
              </w:rPr>
              <w:t>Bewertung</w:t>
            </w:r>
          </w:p>
        </w:tc>
      </w:tr>
      <w:tr>
        <w:trPr>
          <w:cantSplit/>
        </w:trPr>
        <w:tc>
          <w:tcPr>
            <w:tcW w:type="dxa" w:w="2470"/>
            <w:vAlign w:val="top"/>
            <w:tcMar>
              <w:top w:w="60" w:type="dxa"/>
              <w:start w:w="90" w:type="dxa"/>
              <w:bottom w:w="60" w:type="dxa"/>
              <w:end w:w="90" w:type="dxa"/>
            </w:tcMar>
          </w:tcPr>
          <w:p>
            <w:pPr>
              <w:keepLines/>
              <w:spacing w:after="0"/>
            </w:pPr>
            <w:r/>
            <w:r>
              <w:rPr>
                <w:rFonts w:ascii="Times New Roman" w:hAnsi="Times New Roman"/>
                <w:sz w:val="17"/>
              </w:rPr>
              <w:t>Unternehmensumstrukturierung</w:t>
            </w:r>
          </w:p>
        </w:tc>
        <w:tc>
          <w:tcPr>
            <w:tcW w:type="dxa" w:w="3399"/>
            <w:vAlign w:val="top"/>
            <w:tcMar>
              <w:top w:w="60" w:type="dxa"/>
              <w:start w:w="90" w:type="dxa"/>
              <w:bottom w:w="60" w:type="dxa"/>
              <w:end w:w="90" w:type="dxa"/>
            </w:tcMar>
          </w:tcPr>
          <w:p>
            <w:pPr>
              <w:keepLines/>
              <w:spacing w:after="0"/>
            </w:pPr>
            <w:r/>
            <w:r>
              <w:rPr>
                <w:rFonts w:ascii="Times New Roman" w:hAnsi="Times New Roman"/>
                <w:sz w:val="17"/>
              </w:rPr>
              <w:t>Insolvenzantrag, vorläufiger Verwalter, Asset Deal mit Betriebsmittel- und Personalübergang</w:t>
            </w:r>
          </w:p>
        </w:tc>
        <w:tc>
          <w:tcPr>
            <w:tcW w:type="dxa" w:w="3202"/>
            <w:vAlign w:val="top"/>
            <w:tcMar>
              <w:top w:w="60" w:type="dxa"/>
              <w:start w:w="90" w:type="dxa"/>
              <w:bottom w:w="60" w:type="dxa"/>
              <w:end w:w="90" w:type="dxa"/>
            </w:tcMar>
          </w:tcPr>
          <w:p>
            <w:pPr>
              <w:keepLines/>
              <w:spacing w:after="0"/>
            </w:pPr>
            <w:r/>
            <w:r>
              <w:rPr>
                <w:rFonts w:ascii="Times New Roman" w:hAnsi="Times New Roman"/>
                <w:sz w:val="17"/>
              </w:rPr>
              <w:t>spricht für § 132 Abs. 2 Satz 1 Nr. 4 Buchstabe b GWB</w:t>
            </w:r>
          </w:p>
        </w:tc>
      </w:tr>
      <w:tr>
        <w:trPr>
          <w:cantSplit/>
        </w:trPr>
        <w:tc>
          <w:tcPr>
            <w:tcW w:type="dxa" w:w="2470"/>
            <w:vAlign w:val="top"/>
            <w:tcMar>
              <w:top w:w="60" w:type="dxa"/>
              <w:start w:w="90" w:type="dxa"/>
              <w:bottom w:w="60" w:type="dxa"/>
              <w:end w:w="90" w:type="dxa"/>
            </w:tcMar>
            <w:shd w:fill="F1F3F3"/>
          </w:tcPr>
          <w:p>
            <w:pPr>
              <w:keepLines/>
              <w:spacing w:after="0"/>
            </w:pPr>
            <w:r/>
            <w:r>
              <w:rPr>
                <w:rFonts w:ascii="Times New Roman" w:hAnsi="Times New Roman"/>
                <w:sz w:val="17"/>
              </w:rPr>
              <w:t>Eignung Erwerberin</w:t>
            </w:r>
          </w:p>
        </w:tc>
        <w:tc>
          <w:tcPr>
            <w:tcW w:type="dxa" w:w="3399"/>
            <w:vAlign w:val="top"/>
            <w:tcMar>
              <w:top w:w="60" w:type="dxa"/>
              <w:start w:w="90" w:type="dxa"/>
              <w:bottom w:w="60" w:type="dxa"/>
              <w:end w:w="90" w:type="dxa"/>
            </w:tcMar>
            <w:shd w:fill="F1F3F3"/>
          </w:tcPr>
          <w:p>
            <w:pPr>
              <w:keepLines/>
              <w:spacing w:after="0"/>
            </w:pPr>
            <w:r/>
            <w:r>
              <w:rPr>
                <w:rFonts w:ascii="Times New Roman" w:hAnsi="Times New Roman"/>
                <w:sz w:val="17"/>
              </w:rPr>
              <w:t>Referenzen teilweise übernommener Betrieb, ISO-Zertifikat noch auf alte Gesellschaft, Versicherung neu beantragt</w:t>
            </w:r>
          </w:p>
        </w:tc>
        <w:tc>
          <w:tcPr>
            <w:tcW w:type="dxa" w:w="3202"/>
            <w:vAlign w:val="top"/>
            <w:tcMar>
              <w:top w:w="60" w:type="dxa"/>
              <w:start w:w="90" w:type="dxa"/>
              <w:bottom w:w="60" w:type="dxa"/>
              <w:end w:w="90" w:type="dxa"/>
            </w:tcMar>
            <w:shd w:fill="F1F3F3"/>
          </w:tcPr>
          <w:p>
            <w:pPr>
              <w:keepLines/>
              <w:spacing w:after="0"/>
            </w:pPr>
            <w:r/>
            <w:r>
              <w:rPr>
                <w:rFonts w:ascii="Times New Roman" w:hAnsi="Times New Roman"/>
                <w:sz w:val="17"/>
              </w:rPr>
              <w:t>derzeit lückenhaft</w:t>
            </w:r>
          </w:p>
        </w:tc>
      </w:tr>
      <w:tr>
        <w:trPr>
          <w:cantSplit/>
        </w:trPr>
        <w:tc>
          <w:tcPr>
            <w:tcW w:type="dxa" w:w="2470"/>
            <w:vAlign w:val="top"/>
            <w:tcMar>
              <w:top w:w="60" w:type="dxa"/>
              <w:start w:w="90" w:type="dxa"/>
              <w:bottom w:w="60" w:type="dxa"/>
              <w:end w:w="90" w:type="dxa"/>
            </w:tcMar>
          </w:tcPr>
          <w:p>
            <w:pPr>
              <w:keepLines/>
              <w:spacing w:after="0"/>
            </w:pPr>
            <w:r/>
            <w:r>
              <w:rPr>
                <w:rFonts w:ascii="Times New Roman" w:hAnsi="Times New Roman"/>
                <w:sz w:val="17"/>
              </w:rPr>
              <w:t>Leistung</w:t>
            </w:r>
          </w:p>
        </w:tc>
        <w:tc>
          <w:tcPr>
            <w:tcW w:type="dxa" w:w="3399"/>
            <w:vAlign w:val="top"/>
            <w:tcMar>
              <w:top w:w="60" w:type="dxa"/>
              <w:start w:w="90" w:type="dxa"/>
              <w:bottom w:w="60" w:type="dxa"/>
              <w:end w:w="90" w:type="dxa"/>
            </w:tcMar>
          </w:tcPr>
          <w:p>
            <w:pPr>
              <w:keepLines/>
              <w:spacing w:after="0"/>
            </w:pPr>
            <w:r/>
            <w:r>
              <w:rPr>
                <w:rFonts w:ascii="Times New Roman" w:hAnsi="Times New Roman"/>
                <w:sz w:val="17"/>
              </w:rPr>
              <w:t>identischer Betrieb, identische SLA, kein Zusatzmodul</w:t>
            </w:r>
          </w:p>
        </w:tc>
        <w:tc>
          <w:tcPr>
            <w:tcW w:type="dxa" w:w="3202"/>
            <w:vAlign w:val="top"/>
            <w:tcMar>
              <w:top w:w="60" w:type="dxa"/>
              <w:start w:w="90" w:type="dxa"/>
              <w:bottom w:w="60" w:type="dxa"/>
              <w:end w:w="90" w:type="dxa"/>
            </w:tcMar>
          </w:tcPr>
          <w:p>
            <w:pPr>
              <w:keepLines/>
              <w:spacing w:after="0"/>
            </w:pPr>
            <w:r/>
            <w:r>
              <w:rPr>
                <w:rFonts w:ascii="Times New Roman" w:hAnsi="Times New Roman"/>
                <w:sz w:val="17"/>
              </w:rPr>
              <w:t>keine wesentliche Leistungsänderung</w:t>
            </w:r>
          </w:p>
        </w:tc>
      </w:tr>
      <w:tr>
        <w:trPr>
          <w:cantSplit/>
        </w:trPr>
        <w:tc>
          <w:tcPr>
            <w:tcW w:type="dxa" w:w="2470"/>
            <w:vAlign w:val="top"/>
            <w:tcMar>
              <w:top w:w="60" w:type="dxa"/>
              <w:start w:w="90" w:type="dxa"/>
              <w:bottom w:w="60" w:type="dxa"/>
              <w:end w:w="90" w:type="dxa"/>
            </w:tcMar>
            <w:shd w:fill="F1F3F3"/>
          </w:tcPr>
          <w:p>
            <w:pPr>
              <w:keepLines/>
              <w:spacing w:after="0"/>
            </w:pPr>
            <w:r/>
            <w:r>
              <w:rPr>
                <w:rFonts w:ascii="Times New Roman" w:hAnsi="Times New Roman"/>
                <w:sz w:val="17"/>
              </w:rPr>
              <w:t>Preis</w:t>
            </w:r>
          </w:p>
        </w:tc>
        <w:tc>
          <w:tcPr>
            <w:tcW w:type="dxa" w:w="3399"/>
            <w:vAlign w:val="top"/>
            <w:tcMar>
              <w:top w:w="60" w:type="dxa"/>
              <w:start w:w="90" w:type="dxa"/>
              <w:bottom w:w="60" w:type="dxa"/>
              <w:end w:w="90" w:type="dxa"/>
            </w:tcMar>
            <w:shd w:fill="F1F3F3"/>
          </w:tcPr>
          <w:p>
            <w:pPr>
              <w:keepLines/>
              <w:spacing w:after="0"/>
            </w:pPr>
            <w:r/>
            <w:r>
              <w:rPr>
                <w:rFonts w:ascii="Times New Roman" w:hAnsi="Times New Roman"/>
                <w:sz w:val="17"/>
              </w:rPr>
              <w:t>unverändert</w:t>
            </w:r>
          </w:p>
        </w:tc>
        <w:tc>
          <w:tcPr>
            <w:tcW w:type="dxa" w:w="3202"/>
            <w:vAlign w:val="top"/>
            <w:tcMar>
              <w:top w:w="60" w:type="dxa"/>
              <w:start w:w="90" w:type="dxa"/>
              <w:bottom w:w="60" w:type="dxa"/>
              <w:end w:w="90" w:type="dxa"/>
            </w:tcMar>
            <w:shd w:fill="F1F3F3"/>
          </w:tcPr>
          <w:p>
            <w:pPr>
              <w:keepLines/>
              <w:spacing w:after="0"/>
            </w:pPr>
            <w:r/>
            <w:r>
              <w:rPr>
                <w:rFonts w:ascii="Times New Roman" w:hAnsi="Times New Roman"/>
                <w:sz w:val="17"/>
              </w:rPr>
              <w:t>keine Verschiebung des wirtschaftlichen Gleichgewichts</w:t>
            </w:r>
          </w:p>
        </w:tc>
      </w:tr>
      <w:tr>
        <w:trPr>
          <w:cantSplit/>
        </w:trPr>
        <w:tc>
          <w:tcPr>
            <w:tcW w:type="dxa" w:w="2470"/>
            <w:vAlign w:val="top"/>
            <w:tcMar>
              <w:top w:w="60" w:type="dxa"/>
              <w:start w:w="90" w:type="dxa"/>
              <w:bottom w:w="60" w:type="dxa"/>
              <w:end w:w="90" w:type="dxa"/>
            </w:tcMar>
          </w:tcPr>
          <w:p>
            <w:pPr>
              <w:keepLines/>
              <w:spacing w:after="0"/>
            </w:pPr>
            <w:r/>
            <w:r>
              <w:rPr>
                <w:rFonts w:ascii="Times New Roman" w:hAnsi="Times New Roman"/>
                <w:sz w:val="17"/>
              </w:rPr>
              <w:t>Laufzeit</w:t>
            </w:r>
          </w:p>
        </w:tc>
        <w:tc>
          <w:tcPr>
            <w:tcW w:type="dxa" w:w="3399"/>
            <w:vAlign w:val="top"/>
            <w:tcMar>
              <w:top w:w="60" w:type="dxa"/>
              <w:start w:w="90" w:type="dxa"/>
              <w:bottom w:w="60" w:type="dxa"/>
              <w:end w:w="90" w:type="dxa"/>
            </w:tcMar>
          </w:tcPr>
          <w:p>
            <w:pPr>
              <w:keepLines/>
              <w:spacing w:after="0"/>
            </w:pPr>
            <w:r/>
            <w:r>
              <w:rPr>
                <w:rFonts w:ascii="Times New Roman" w:hAnsi="Times New Roman"/>
                <w:sz w:val="17"/>
              </w:rPr>
              <w:t>unverändert</w:t>
            </w:r>
          </w:p>
        </w:tc>
        <w:tc>
          <w:tcPr>
            <w:tcW w:type="dxa" w:w="3202"/>
            <w:vAlign w:val="top"/>
            <w:tcMar>
              <w:top w:w="60" w:type="dxa"/>
              <w:start w:w="90" w:type="dxa"/>
              <w:bottom w:w="60" w:type="dxa"/>
              <w:end w:w="90" w:type="dxa"/>
            </w:tcMar>
          </w:tcPr>
          <w:p>
            <w:pPr>
              <w:keepLines/>
              <w:spacing w:after="0"/>
            </w:pPr>
            <w:r/>
            <w:r>
              <w:rPr>
                <w:rFonts w:ascii="Times New Roman" w:hAnsi="Times New Roman"/>
                <w:sz w:val="17"/>
              </w:rPr>
              <w:t>keine Laufzeitverlängerung</w:t>
            </w:r>
          </w:p>
        </w:tc>
      </w:tr>
      <w:tr>
        <w:trPr>
          <w:cantSplit/>
        </w:trPr>
        <w:tc>
          <w:tcPr>
            <w:tcW w:type="dxa" w:w="2470"/>
            <w:vAlign w:val="top"/>
            <w:tcMar>
              <w:top w:w="60" w:type="dxa"/>
              <w:start w:w="90" w:type="dxa"/>
              <w:bottom w:w="60" w:type="dxa"/>
              <w:end w:w="90" w:type="dxa"/>
            </w:tcMar>
            <w:shd w:fill="F1F3F3"/>
          </w:tcPr>
          <w:p>
            <w:pPr>
              <w:keepLines/>
              <w:spacing w:after="0"/>
            </w:pPr>
            <w:r/>
            <w:r>
              <w:rPr>
                <w:rFonts w:ascii="Times New Roman" w:hAnsi="Times New Roman"/>
                <w:sz w:val="17"/>
              </w:rPr>
              <w:t>Risiko</w:t>
            </w:r>
          </w:p>
        </w:tc>
        <w:tc>
          <w:tcPr>
            <w:tcW w:type="dxa" w:w="3399"/>
            <w:vAlign w:val="top"/>
            <w:tcMar>
              <w:top w:w="60" w:type="dxa"/>
              <w:start w:w="90" w:type="dxa"/>
              <w:bottom w:w="60" w:type="dxa"/>
              <w:end w:w="90" w:type="dxa"/>
            </w:tcMar>
            <w:shd w:fill="F1F3F3"/>
          </w:tcPr>
          <w:p>
            <w:pPr>
              <w:keepLines/>
              <w:spacing w:after="0"/>
            </w:pPr>
            <w:r/>
            <w:r>
              <w:rPr>
                <w:rFonts w:ascii="Times New Roman" w:hAnsi="Times New Roman"/>
                <w:sz w:val="17"/>
              </w:rPr>
              <w:t>Datenschutz- und Haftungsübernahme angekündigt, Bankbürgschaft offen</w:t>
            </w:r>
          </w:p>
        </w:tc>
        <w:tc>
          <w:tcPr>
            <w:tcW w:type="dxa" w:w="3202"/>
            <w:vAlign w:val="top"/>
            <w:tcMar>
              <w:top w:w="60" w:type="dxa"/>
              <w:start w:w="90" w:type="dxa"/>
              <w:bottom w:w="60" w:type="dxa"/>
              <w:end w:w="90" w:type="dxa"/>
            </w:tcMar>
            <w:shd w:fill="F1F3F3"/>
          </w:tcPr>
          <w:p>
            <w:pPr>
              <w:keepLines/>
              <w:spacing w:after="0"/>
            </w:pPr>
            <w:r/>
            <w:r>
              <w:rPr>
                <w:rFonts w:ascii="Times New Roman" w:hAnsi="Times New Roman"/>
                <w:sz w:val="17"/>
              </w:rPr>
              <w:t>Nachweis erforderlich</w:t>
            </w:r>
          </w:p>
        </w:tc>
      </w:tr>
      <w:tr>
        <w:trPr>
          <w:cantSplit/>
        </w:trPr>
        <w:tc>
          <w:tcPr>
            <w:tcW w:type="dxa" w:w="2470"/>
            <w:vAlign w:val="top"/>
            <w:tcMar>
              <w:top w:w="60" w:type="dxa"/>
              <w:start w:w="90" w:type="dxa"/>
              <w:bottom w:w="60" w:type="dxa"/>
              <w:end w:w="90" w:type="dxa"/>
            </w:tcMar>
          </w:tcPr>
          <w:p>
            <w:pPr>
              <w:keepLines/>
              <w:spacing w:after="0"/>
            </w:pPr>
            <w:r/>
            <w:r>
              <w:rPr>
                <w:rFonts w:ascii="Times New Roman" w:hAnsi="Times New Roman"/>
                <w:sz w:val="17"/>
              </w:rPr>
              <w:t>Umgehung</w:t>
            </w:r>
          </w:p>
        </w:tc>
        <w:tc>
          <w:tcPr>
            <w:tcW w:type="dxa" w:w="3399"/>
            <w:vAlign w:val="top"/>
            <w:tcMar>
              <w:top w:w="60" w:type="dxa"/>
              <w:start w:w="90" w:type="dxa"/>
              <w:bottom w:w="60" w:type="dxa"/>
              <w:end w:w="90" w:type="dxa"/>
            </w:tcMar>
          </w:tcPr>
          <w:p>
            <w:pPr>
              <w:keepLines/>
              <w:spacing w:after="0"/>
            </w:pPr>
            <w:r/>
            <w:r>
              <w:rPr>
                <w:rFonts w:ascii="Times New Roman" w:hAnsi="Times New Roman"/>
                <w:sz w:val="17"/>
              </w:rPr>
              <w:t>Insolvenz fremdveranlasst, kein vorher geplantes Austauschkonstrukt ersichtlich</w:t>
            </w:r>
          </w:p>
        </w:tc>
        <w:tc>
          <w:tcPr>
            <w:tcW w:type="dxa" w:w="3202"/>
            <w:vAlign w:val="top"/>
            <w:tcMar>
              <w:top w:w="60" w:type="dxa"/>
              <w:start w:w="90" w:type="dxa"/>
              <w:bottom w:w="60" w:type="dxa"/>
              <w:end w:w="90" w:type="dxa"/>
            </w:tcMar>
          </w:tcPr>
          <w:p>
            <w:pPr>
              <w:keepLines/>
              <w:spacing w:after="0"/>
            </w:pPr>
            <w:r/>
            <w:r>
              <w:rPr>
                <w:rFonts w:ascii="Times New Roman" w:hAnsi="Times New Roman"/>
                <w:sz w:val="17"/>
              </w:rPr>
              <w:t>derzeit kein Umgehungsindiz</w:t>
            </w:r>
          </w:p>
        </w:tc>
      </w:tr>
      <w:tr>
        <w:trPr>
          <w:cantSplit/>
        </w:trPr>
        <w:tc>
          <w:tcPr>
            <w:tcW w:type="dxa" w:w="2470"/>
            <w:vAlign w:val="top"/>
            <w:tcMar>
              <w:top w:w="60" w:type="dxa"/>
              <w:start w:w="90" w:type="dxa"/>
              <w:bottom w:w="60" w:type="dxa"/>
              <w:end w:w="90" w:type="dxa"/>
            </w:tcMar>
            <w:shd w:fill="F1F3F3"/>
          </w:tcPr>
          <w:p>
            <w:pPr>
              <w:keepLines/>
              <w:spacing w:after="0"/>
            </w:pPr>
            <w:r/>
            <w:r>
              <w:rPr>
                <w:rFonts w:ascii="Times New Roman" w:hAnsi="Times New Roman"/>
                <w:sz w:val="17"/>
              </w:rPr>
              <w:t>Amtsblatt</w:t>
            </w:r>
          </w:p>
        </w:tc>
        <w:tc>
          <w:tcPr>
            <w:tcW w:type="dxa" w:w="3399"/>
            <w:vAlign w:val="top"/>
            <w:tcMar>
              <w:top w:w="60" w:type="dxa"/>
              <w:start w:w="90" w:type="dxa"/>
              <w:bottom w:w="60" w:type="dxa"/>
              <w:end w:w="90" w:type="dxa"/>
            </w:tcMar>
            <w:shd w:fill="F1F3F3"/>
          </w:tcPr>
          <w:p>
            <w:pPr>
              <w:keepLines/>
              <w:spacing w:after="0"/>
            </w:pPr>
            <w:r/>
            <w:r>
              <w:rPr>
                <w:rFonts w:ascii="Times New Roman" w:hAnsi="Times New Roman"/>
                <w:sz w:val="17"/>
              </w:rPr>
              <w:t>Auftragnehmerwechsel nach § 132 Abs. 2 Satz 1 Nr. 4 Buchstabe b GWB</w:t>
            </w:r>
          </w:p>
        </w:tc>
        <w:tc>
          <w:tcPr>
            <w:tcW w:type="dxa" w:w="3202"/>
            <w:vAlign w:val="top"/>
            <w:tcMar>
              <w:top w:w="60" w:type="dxa"/>
              <w:start w:w="90" w:type="dxa"/>
              <w:bottom w:w="60" w:type="dxa"/>
              <w:end w:w="90" w:type="dxa"/>
            </w:tcMar>
            <w:shd w:fill="F1F3F3"/>
          </w:tcPr>
          <w:p>
            <w:pPr>
              <w:keepLines/>
              <w:spacing w:after="0"/>
            </w:pPr>
            <w:r/>
            <w:r>
              <w:rPr>
                <w:rFonts w:ascii="Times New Roman" w:hAnsi="Times New Roman"/>
                <w:sz w:val="17"/>
              </w:rPr>
              <w:t>keine Bekanntmachung nach § 132 Abs. 5 GWB, solange keine Nr.-2- oder Nr.-3-Änderung genutzt wird</w:t>
            </w:r>
          </w:p>
        </w:tc>
      </w:tr>
    </w:tbl>
    <w:p>
      <w:pPr>
        <w:spacing w:after="0" w:before="40"/>
      </w:pPr>
    </w:p>
    <w:p>
      <w:pPr>
        <w:pStyle w:val="Heading1"/>
      </w:pPr>
      <w:r>
        <w:t>Vorläufiges Ergebnis</w:t>
      </w:r>
    </w:p>
    <w:p>
      <w:r>
        <w:t>Fortführung kann nur freigegeben werden, wenn die Erwerberin vor Eintritt nachweist:</w:t>
      </w:r>
    </w:p>
    <w:p>
      <w:pPr>
        <w:pStyle w:val="ListNumber"/>
      </w:pPr>
      <w:r>
        <w:t>Eignung in allen ursprünglichen Kategorien.</w:t>
      </w:r>
    </w:p>
    <w:p>
      <w:pPr>
        <w:pStyle w:val="ListNumber"/>
      </w:pPr>
      <w:r>
        <w:t>Übernahme der kritischen Betriebsmittel und des Kernpersonals.</w:t>
      </w:r>
    </w:p>
    <w:p>
      <w:pPr>
        <w:pStyle w:val="ListNumber"/>
      </w:pPr>
      <w:r>
        <w:t>Haftungs-, Datenschutz- und Versicherungsdeckung.</w:t>
      </w:r>
    </w:p>
    <w:p>
      <w:pPr>
        <w:pStyle w:val="ListNumber"/>
        <w:keepNext/>
        <w:keepLines/>
      </w:pPr>
      <w:r>
        <w:t>Keine Preis-, Laufzeit- oder Leistungsveränderung.</w:t>
      </w:r>
    </w:p>
    <w:p>
      <w:pPr>
        <w:pStyle w:val="ListNumber"/>
        <w:keepNext/>
        <w:keepLines/>
      </w:pPr>
      <w:r>
        <w:t>Zustimmung des Insolvenzverwalters und rechtliche Wirksamkeit der Übertragung.</w:t>
      </w:r>
    </w:p>
    <w:p>
      <w:pPr>
        <w:pStyle w:val="Heading1"/>
        <w:keepNext/>
        <w:keepLines/>
      </w:pPr>
      <w:r>
        <w:t>Entscheidungsvorschlag</w:t>
      </w:r>
    </w:p>
    <w:p>
      <w:pPr>
        <w:keepNext/>
        <w:keepLines/>
      </w:pPr>
      <w:r>
        <w:t>Die Vergabestelle erteilt keine sofortige uneingeschränkte Zustimmung. Sie fordert binnen fünf Arbeitstagen ein Fortführungspaket an. Bei vollständigem Nachweis kann der Auftragnehmerwechsel nach § 132 Abs. 2 Satz 1 Nr. 4 Buchstabe b GWB dokumentiert freigegeben werden. Bei fehlender Eignung oder geändertem Leistungsbild ist eine Interimsvergabe mit paralleler Neuausschreibung vorzubereiten.</w:t>
      </w:r>
    </w:p>
    <w:p>
      <w:pPr>
        <w:keepLines/>
      </w:pPr>
      <w:r>
        <w:t>Eine Amtsblattbekanntmachung nach § 132 Abs. 5 GWB ist für den Wechsel nach Nr. 4 Buchstabe b nicht der Freigabeschritt. Wenn stattdessen eine Interimsvergabe oder Neuausschreibung erforderlich wird, ist das Bekanntmachungs- und Uploadrouting neu aufzusetzen.</w:t>
      </w:r>
    </w:p>
    <w:sectPr w:rsidR="00FC693F" w:rsidRPr="0006063C" w:rsidSect="00034616">
      <w:headerReference w:type="default" r:id="rId9"/>
      <w:footerReference w:type="default" r:id="rId10"/>
      <w:pgSz w:w="11906" w:h="16838"/>
      <w:pgMar w:top="1020" w:right="1417" w:bottom="935" w:left="141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Times New Roman" w:hAnsi="Times New Roman"/>
        <w:color w:val="646464"/>
        <w:sz w:val="16"/>
      </w:rPr>
      <w:t>Aktenstück</w:t>
      <w:t xml:space="preserve">  |  HB-IT-SERVICE-2026</w:t>
      <w:t xml:space="preserve">  |  Seite </w:t>
    </w:r>
    <w:r>
      <w:rPr>
        <w:rFonts w:ascii="Times New Roman" w:hAnsi="Times New Roman"/>
        <w:color w:val="646464"/>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Times New Roman" w:hAnsi="Times New Roman"/>
        <w:color w:val="646464"/>
        <w:sz w:val="16"/>
      </w:rPr>
      <w:t>Stadt Hafenburg - Amt für Digitalisierung</w:t>
      <w:t xml:space="preserve">  |  HB-IT-SERVICE-2026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Times New Roman" w:hAnsi="Times New Roman" w:eastAsia="Times New Roman"/>
      <w:b w:val="0"/>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01696F"/>
      <w:sz w:val="25"/>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1F1F"/>
      <w:sz w:val="22"/>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eastAsia="Times New Roman"/>
      <w:b/>
      <w:bCs/>
      <w:color w:val="6464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Times New Roman" w:hAnsi="Times New Roman" w:eastAsia="Times New Roman"/>
      <w:b/>
      <w:color w:val="01696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Times New Roman" w:hAnsi="Times New Roman" w:eastAsia="Times New Roman"/>
      <w:b w:val="0"/>
      <w:color w:val="1F1F1F"/>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Times New Roman" w:hAnsi="Times New Roman" w:eastAsia="Times New Roman"/>
      <w:b w:val="0"/>
      <w:color w:val="1F1F1F"/>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itle>Auftragnehmerwechsel nach Insolvenz - Prüfung nach § 132 GWB</dc:title>
  <dc:subject>Vergaberechtlicher Prüfvermerk | Az. HB-IT-SERVICE-2026</dc:subject>
  <dc:creator>Stadt Hafenburg - Amt für Digitalisierung</dc:creator>
  <cp:keywords>Vergaberecht, HB-IT-SERVICE-2026, Vergaberechtlicher Prüfvermerk</cp:keywords>
  <dc:description>generated by python-docx</dc:description>
  <cp:lastModifiedBy>Stadt Hafenburg - Amt für Digitalisierung</cp:lastModifiedBy>
  <cp:revision>1</cp:revision>
  <dcterms:created xsi:type="dcterms:W3CDTF">2000-01-01T00:00:00Z</dcterms:created>
  <dcterms:modified xsi:type="dcterms:W3CDTF">2000-01-01T00:00:00Z</dcterms:modified>
  <cp:category>Vergabeakte</cp:category>
</cp:coreProperties>
</file>