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NordSys Betriebserwerber GmbH</w:t>
            </w:r>
          </w:p>
          <w:p>
            <w:pPr>
              <w:spacing w:after="0"/>
            </w:pPr>
            <w:r>
              <w:rPr>
                <w:color w:val="646464"/>
                <w:sz w:val="18"/>
              </w:rPr>
              <w:t>Werftweg 3, 21129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04.11.2026</w:t>
              <w:br/>
            </w:r>
            <w:r>
              <w:rPr>
                <w:rFonts w:ascii="Times New Roman" w:hAnsi="Times New Roman"/>
                <w:color w:val="646464"/>
                <w:sz w:val="18"/>
              </w:rPr>
              <w:t>Aktenzeichen: HB-IT-SERVICE-2026</w:t>
              <w:br/>
            </w:r>
            <w:r>
              <w:rPr>
                <w:rFonts w:ascii="Times New Roman" w:hAnsi="Times New Roman"/>
                <w:color w:val="646464"/>
                <w:sz w:val="18"/>
              </w:rPr>
              <w:t>Übertragungsverzeichnis zum Unternehmenskaufvertrag</w:t>
            </w:r>
          </w:p>
        </w:tc>
      </w:tr>
    </w:tbl>
    <w:p>
      <w:pPr>
        <w:spacing w:before="200" w:after="40"/>
      </w:pPr>
      <w:r>
        <w:rPr>
          <w:rFonts w:ascii="Times New Roman" w:hAnsi="Times New Roman"/>
          <w:color w:val="646464"/>
          <w:sz w:val="15"/>
        </w:rPr>
        <w:t>NordSys Betriebserwerber GmbH · Werftweg 3, 21129 Hafenburg</w:t>
      </w:r>
    </w:p>
    <w:p>
      <w:pPr>
        <w:spacing w:after="240"/>
      </w:pPr>
      <w:r>
        <w:t>Stadt Hafenburg - Amt für Digitalisierung</w:t>
      </w:r>
    </w:p>
    <w:p>
      <w:pPr>
        <w:pStyle w:val="Title"/>
      </w:pPr>
      <w:r>
        <w:t>Übertragene Betriebsmittel und Vertragspflichten für die Fortführung der Fachverfahren</w:t>
      </w:r>
    </w:p>
    <w:p>
      <w:pPr>
        <w:pStyle w:val="Heading1"/>
      </w:pPr>
      <w:r>
        <w:t>Bezug</w:t>
      </w:r>
    </w:p>
    <w:p>
      <w:r>
        <w:t>Die NordSys Betriebserwerber GmbH hat mit Vertrag vom 31.10.2026 aus der Insolvenzmasse der NordSys Services GmbH den Betriebsteil „Kommunale Fachverfahren Nord“ erworben. Dieses Verzeichnis konkretisiert die für den Auftrag HB-IT-SERVICE-2026 übertragenen Ressourcen. Der Eintritt in den öffentlichen Auftrag steht unter der Zustimmung der Stadt Hafenburg und ersetzt deren vergaberechtliche Prüfung nicht.</w:t>
      </w:r>
    </w:p>
    <w:p>
      <w:pPr>
        <w:pStyle w:val="Heading1"/>
      </w:pPr>
      <w:r>
        <w:t>Betriebsmittel und Rechte</w:t>
      </w:r>
    </w:p>
    <w:tbl>
      <w:tblPr>
        <w:tblStyle w:val="TableGrid"/>
        <w:tblW w:type="dxa" w:w="9071"/>
        <w:jc w:val="left"/>
        <w:tblLayout w:type="fixed"/>
        <w:tblLook w:firstColumn="1" w:firstRow="1" w:lastColumn="0" w:lastRow="0" w:noHBand="0" w:noVBand="1" w:val="04A0"/>
      </w:tblPr>
      <w:tblGrid>
        <w:gridCol w:w="1287"/>
        <w:gridCol w:w="2094"/>
        <w:gridCol w:w="1804"/>
        <w:gridCol w:w="1820"/>
        <w:gridCol w:w="2066"/>
      </w:tblGrid>
      <w:tr>
        <w:trPr>
          <w:tblHeader w:val="true"/>
          <w:cantSplit/>
        </w:trPr>
        <w:tc>
          <w:tcPr>
            <w:tcW w:type="dxa" w:w="12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Position</w:t>
            </w:r>
          </w:p>
        </w:tc>
        <w:tc>
          <w:tcPr>
            <w:tcW w:type="dxa" w:w="2094"/>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Übertragener Gegenstand</w:t>
            </w:r>
          </w:p>
        </w:tc>
        <w:tc>
          <w:tcPr>
            <w:tcW w:type="dxa" w:w="1804"/>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Übergangsstichtag</w:t>
            </w:r>
          </w:p>
        </w:tc>
        <w:tc>
          <w:tcPr>
            <w:tcW w:type="dxa" w:w="1820"/>
            <w:vAlign w:val="top"/>
            <w:tcMar>
              <w:top w:w="60" w:type="dxa"/>
              <w:start w:w="90" w:type="dxa"/>
              <w:bottom w:w="60" w:type="dxa"/>
              <w:end w:w="90" w:type="dxa"/>
            </w:tcMar>
            <w:shd w:fill="01696F"/>
          </w:tcPr>
          <w:p>
            <w:pPr>
              <w:keepLines/>
              <w:spacing w:after="0"/>
            </w:pPr>
            <w:r/>
            <w:r>
              <w:rPr>
                <w:rFonts w:ascii="Times New Roman" w:hAnsi="Times New Roman"/>
                <w:b/>
                <w:color w:val="FFFFFF"/>
                <w:sz w:val="17"/>
              </w:rPr>
              <w:t>Zuordnung zum Auftrag</w:t>
            </w:r>
          </w:p>
        </w:tc>
        <w:tc>
          <w:tcPr>
            <w:tcW w:type="dxa" w:w="2066"/>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Beleg</w:t>
            </w:r>
          </w:p>
        </w:tc>
      </w:tr>
      <w:tr>
        <w:trPr>
          <w:cantSplit/>
        </w:trPr>
        <w:tc>
          <w:tcPr>
            <w:tcW w:type="dxa" w:w="1287"/>
            <w:vAlign w:val="top"/>
            <w:tcMar>
              <w:top w:w="60" w:type="dxa"/>
              <w:start w:w="90" w:type="dxa"/>
              <w:bottom w:w="60" w:type="dxa"/>
              <w:end w:w="90" w:type="dxa"/>
            </w:tcMar>
          </w:tcPr>
          <w:p>
            <w:pPr>
              <w:keepLines/>
              <w:spacing w:after="0"/>
            </w:pPr>
            <w:r/>
            <w:r>
              <w:rPr>
                <w:rFonts w:ascii="Times New Roman" w:hAnsi="Times New Roman"/>
                <w:sz w:val="17"/>
              </w:rPr>
              <w:t>1</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Monitoring-Plattform einschließlich Mandantenkonfiguration</w:t>
            </w:r>
          </w:p>
        </w:tc>
        <w:tc>
          <w:tcPr>
            <w:tcW w:type="dxa" w:w="1804"/>
            <w:vAlign w:val="top"/>
            <w:tcMar>
              <w:top w:w="60" w:type="dxa"/>
              <w:start w:w="90" w:type="dxa"/>
              <w:bottom w:w="60" w:type="dxa"/>
              <w:end w:w="90" w:type="dxa"/>
            </w:tcMar>
          </w:tcPr>
          <w:p>
            <w:pPr>
              <w:keepLines/>
              <w:spacing w:after="0"/>
            </w:pPr>
            <w:r/>
            <w:r>
              <w:rPr>
                <w:rFonts w:ascii="Times New Roman" w:hAnsi="Times New Roman"/>
                <w:sz w:val="17"/>
              </w:rPr>
              <w:t>01.11.2026</w:t>
            </w:r>
          </w:p>
        </w:tc>
        <w:tc>
          <w:tcPr>
            <w:tcW w:type="dxa" w:w="1820"/>
            <w:vAlign w:val="top"/>
            <w:tcMar>
              <w:top w:w="60" w:type="dxa"/>
              <w:start w:w="90" w:type="dxa"/>
              <w:bottom w:w="60" w:type="dxa"/>
              <w:end w:w="90" w:type="dxa"/>
            </w:tcMar>
          </w:tcPr>
          <w:p>
            <w:pPr>
              <w:keepLines/>
              <w:spacing w:after="0"/>
            </w:pPr>
            <w:r/>
            <w:r>
              <w:rPr>
                <w:rFonts w:ascii="Times New Roman" w:hAnsi="Times New Roman"/>
                <w:sz w:val="17"/>
              </w:rPr>
              <w:t>Betriebsüberwachung und Alarmierung</w:t>
            </w:r>
          </w:p>
        </w:tc>
        <w:tc>
          <w:tcPr>
            <w:tcW w:type="dxa" w:w="2066"/>
            <w:vAlign w:val="top"/>
            <w:tcMar>
              <w:top w:w="60" w:type="dxa"/>
              <w:start w:w="90" w:type="dxa"/>
              <w:bottom w:w="60" w:type="dxa"/>
              <w:end w:w="90" w:type="dxa"/>
            </w:tcMar>
          </w:tcPr>
          <w:p>
            <w:pPr>
              <w:keepLines/>
              <w:spacing w:after="0"/>
            </w:pPr>
            <w:r/>
            <w:r>
              <w:rPr>
                <w:rFonts w:ascii="Times New Roman" w:hAnsi="Times New Roman"/>
                <w:sz w:val="17"/>
              </w:rPr>
              <w:t>Kaufvertrag Anlage 2.1</w:t>
            </w:r>
          </w:p>
        </w:tc>
      </w:tr>
      <w:tr>
        <w:trPr>
          <w:cantSplit/>
        </w:trPr>
        <w:tc>
          <w:tcPr>
            <w:tcW w:type="dxa" w:w="1287"/>
            <w:vAlign w:val="top"/>
            <w:tcMar>
              <w:top w:w="60" w:type="dxa"/>
              <w:start w:w="90" w:type="dxa"/>
              <w:bottom w:w="60" w:type="dxa"/>
              <w:end w:w="90" w:type="dxa"/>
            </w:tcMar>
            <w:shd w:fill="F1F3F3"/>
          </w:tcPr>
          <w:p>
            <w:pPr>
              <w:keepLines/>
              <w:spacing w:after="0"/>
            </w:pPr>
            <w:r/>
            <w:r>
              <w:rPr>
                <w:rFonts w:ascii="Times New Roman" w:hAnsi="Times New Roman"/>
                <w:sz w:val="17"/>
              </w:rPr>
              <w:t>2</w:t>
            </w:r>
          </w:p>
        </w:tc>
        <w:tc>
          <w:tcPr>
            <w:tcW w:type="dxa" w:w="2094"/>
            <w:vAlign w:val="top"/>
            <w:tcMar>
              <w:top w:w="60" w:type="dxa"/>
              <w:start w:w="90" w:type="dxa"/>
              <w:bottom w:w="60" w:type="dxa"/>
              <w:end w:w="90" w:type="dxa"/>
            </w:tcMar>
            <w:shd w:fill="F1F3F3"/>
          </w:tcPr>
          <w:p>
            <w:pPr>
              <w:keepLines/>
              <w:spacing w:after="0"/>
            </w:pPr>
            <w:r/>
            <w:r>
              <w:rPr>
                <w:rFonts w:ascii="Times New Roman" w:hAnsi="Times New Roman"/>
                <w:sz w:val="17"/>
              </w:rPr>
              <w:t>Service-Desk-System samt Ticket-Historie</w:t>
            </w:r>
          </w:p>
        </w:tc>
        <w:tc>
          <w:tcPr>
            <w:tcW w:type="dxa" w:w="1804"/>
            <w:vAlign w:val="top"/>
            <w:tcMar>
              <w:top w:w="60" w:type="dxa"/>
              <w:start w:w="90" w:type="dxa"/>
              <w:bottom w:w="60" w:type="dxa"/>
              <w:end w:w="90" w:type="dxa"/>
            </w:tcMar>
            <w:shd w:fill="F1F3F3"/>
          </w:tcPr>
          <w:p>
            <w:pPr>
              <w:keepLines/>
              <w:spacing w:after="0"/>
            </w:pPr>
            <w:r/>
            <w:r>
              <w:rPr>
                <w:rFonts w:ascii="Times New Roman" w:hAnsi="Times New Roman"/>
                <w:sz w:val="17"/>
              </w:rPr>
              <w:t>nach Datenschutzfreigabe</w:t>
            </w:r>
          </w:p>
        </w:tc>
        <w:tc>
          <w:tcPr>
            <w:tcW w:type="dxa" w:w="1820"/>
            <w:vAlign w:val="top"/>
            <w:tcMar>
              <w:top w:w="60" w:type="dxa"/>
              <w:start w:w="90" w:type="dxa"/>
              <w:bottom w:w="60" w:type="dxa"/>
              <w:end w:w="90" w:type="dxa"/>
            </w:tcMar>
            <w:shd w:fill="F1F3F3"/>
          </w:tcPr>
          <w:p>
            <w:pPr>
              <w:keepLines/>
              <w:spacing w:after="0"/>
            </w:pPr>
            <w:r/>
            <w:r>
              <w:rPr>
                <w:rFonts w:ascii="Times New Roman" w:hAnsi="Times New Roman"/>
                <w:sz w:val="17"/>
              </w:rPr>
              <w:t>Störungs- und Change-Prozess</w:t>
            </w:r>
          </w:p>
        </w:tc>
        <w:tc>
          <w:tcPr>
            <w:tcW w:type="dxa" w:w="2066"/>
            <w:vAlign w:val="top"/>
            <w:tcMar>
              <w:top w:w="60" w:type="dxa"/>
              <w:start w:w="90" w:type="dxa"/>
              <w:bottom w:w="60" w:type="dxa"/>
              <w:end w:w="90" w:type="dxa"/>
            </w:tcMar>
            <w:shd w:fill="F1F3F3"/>
          </w:tcPr>
          <w:p>
            <w:pPr>
              <w:keepLines/>
              <w:spacing w:after="0"/>
            </w:pPr>
            <w:r/>
            <w:r>
              <w:rPr>
                <w:rFonts w:ascii="Times New Roman" w:hAnsi="Times New Roman"/>
                <w:sz w:val="17"/>
              </w:rPr>
              <w:t>Anlage 2.3 und Migrationsprotokoll</w:t>
            </w:r>
          </w:p>
        </w:tc>
      </w:tr>
      <w:tr>
        <w:trPr>
          <w:cantSplit/>
        </w:trPr>
        <w:tc>
          <w:tcPr>
            <w:tcW w:type="dxa" w:w="1287"/>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Hardwarebestand im Betriebsraum Hafenburg</w:t>
            </w:r>
          </w:p>
        </w:tc>
        <w:tc>
          <w:tcPr>
            <w:tcW w:type="dxa" w:w="1804"/>
            <w:vAlign w:val="top"/>
            <w:tcMar>
              <w:top w:w="60" w:type="dxa"/>
              <w:start w:w="90" w:type="dxa"/>
              <w:bottom w:w="60" w:type="dxa"/>
              <w:end w:w="90" w:type="dxa"/>
            </w:tcMar>
          </w:tcPr>
          <w:p>
            <w:pPr>
              <w:keepLines/>
              <w:spacing w:after="0"/>
            </w:pPr>
            <w:r/>
            <w:r>
              <w:rPr>
                <w:rFonts w:ascii="Times New Roman" w:hAnsi="Times New Roman"/>
                <w:sz w:val="17"/>
              </w:rPr>
              <w:t>01.11.2026</w:t>
            </w:r>
          </w:p>
        </w:tc>
        <w:tc>
          <w:tcPr>
            <w:tcW w:type="dxa" w:w="1820"/>
            <w:vAlign w:val="top"/>
            <w:tcMar>
              <w:top w:w="60" w:type="dxa"/>
              <w:start w:w="90" w:type="dxa"/>
              <w:bottom w:w="60" w:type="dxa"/>
              <w:end w:w="90" w:type="dxa"/>
            </w:tcMar>
          </w:tcPr>
          <w:p>
            <w:pPr>
              <w:keepLines/>
              <w:spacing w:after="0"/>
            </w:pPr>
            <w:r/>
            <w:r>
              <w:rPr>
                <w:rFonts w:ascii="Times New Roman" w:hAnsi="Times New Roman"/>
                <w:sz w:val="17"/>
              </w:rPr>
              <w:t>Ersatzteil- und Notfallbestand</w:t>
            </w:r>
          </w:p>
        </w:tc>
        <w:tc>
          <w:tcPr>
            <w:tcW w:type="dxa" w:w="2066"/>
            <w:vAlign w:val="top"/>
            <w:tcMar>
              <w:top w:w="60" w:type="dxa"/>
              <w:start w:w="90" w:type="dxa"/>
              <w:bottom w:w="60" w:type="dxa"/>
              <w:end w:w="90" w:type="dxa"/>
            </w:tcMar>
          </w:tcPr>
          <w:p>
            <w:pPr>
              <w:keepLines/>
              <w:spacing w:after="0"/>
            </w:pPr>
            <w:r/>
            <w:r>
              <w:rPr>
                <w:rFonts w:ascii="Times New Roman" w:hAnsi="Times New Roman"/>
                <w:sz w:val="17"/>
              </w:rPr>
              <w:t>Inventarliste 31.10.2026</w:t>
            </w:r>
          </w:p>
        </w:tc>
      </w:tr>
      <w:tr>
        <w:trPr>
          <w:cantSplit/>
        </w:trPr>
        <w:tc>
          <w:tcPr>
            <w:tcW w:type="dxa" w:w="1287"/>
            <w:vAlign w:val="top"/>
            <w:tcMar>
              <w:top w:w="60" w:type="dxa"/>
              <w:start w:w="90" w:type="dxa"/>
              <w:bottom w:w="60" w:type="dxa"/>
              <w:end w:w="90" w:type="dxa"/>
            </w:tcMar>
            <w:shd w:fill="F1F3F3"/>
          </w:tcPr>
          <w:p>
            <w:pPr>
              <w:keepLines/>
              <w:spacing w:after="0"/>
            </w:pPr>
            <w:r/>
            <w:r>
              <w:rPr>
                <w:rFonts w:ascii="Times New Roman" w:hAnsi="Times New Roman"/>
                <w:sz w:val="17"/>
              </w:rPr>
              <w:t>4</w:t>
            </w:r>
          </w:p>
        </w:tc>
        <w:tc>
          <w:tcPr>
            <w:tcW w:type="dxa" w:w="2094"/>
            <w:vAlign w:val="top"/>
            <w:tcMar>
              <w:top w:w="60" w:type="dxa"/>
              <w:start w:w="90" w:type="dxa"/>
              <w:bottom w:w="60" w:type="dxa"/>
              <w:end w:w="90" w:type="dxa"/>
            </w:tcMar>
            <w:shd w:fill="F1F3F3"/>
          </w:tcPr>
          <w:p>
            <w:pPr>
              <w:keepLines/>
              <w:spacing w:after="0"/>
            </w:pPr>
            <w:r/>
            <w:r>
              <w:rPr>
                <w:rFonts w:ascii="Times New Roman" w:hAnsi="Times New Roman"/>
                <w:sz w:val="17"/>
              </w:rPr>
              <w:t>Nutzungsrechte an Betriebsskripten</w:t>
            </w:r>
          </w:p>
        </w:tc>
        <w:tc>
          <w:tcPr>
            <w:tcW w:type="dxa" w:w="1804"/>
            <w:vAlign w:val="top"/>
            <w:tcMar>
              <w:top w:w="60" w:type="dxa"/>
              <w:start w:w="90" w:type="dxa"/>
              <w:bottom w:w="60" w:type="dxa"/>
              <w:end w:w="90" w:type="dxa"/>
            </w:tcMar>
            <w:shd w:fill="F1F3F3"/>
          </w:tcPr>
          <w:p>
            <w:pPr>
              <w:keepLines/>
              <w:spacing w:after="0"/>
            </w:pPr>
            <w:r/>
            <w:r>
              <w:rPr>
                <w:rFonts w:ascii="Times New Roman" w:hAnsi="Times New Roman"/>
                <w:sz w:val="17"/>
              </w:rPr>
              <w:t>01.11.2026</w:t>
            </w:r>
          </w:p>
        </w:tc>
        <w:tc>
          <w:tcPr>
            <w:tcW w:type="dxa" w:w="1820"/>
            <w:vAlign w:val="top"/>
            <w:tcMar>
              <w:top w:w="60" w:type="dxa"/>
              <w:start w:w="90" w:type="dxa"/>
              <w:bottom w:w="60" w:type="dxa"/>
              <w:end w:w="90" w:type="dxa"/>
            </w:tcMar>
            <w:shd w:fill="F1F3F3"/>
          </w:tcPr>
          <w:p>
            <w:pPr>
              <w:keepLines/>
              <w:spacing w:after="0"/>
            </w:pPr>
            <w:r/>
            <w:r>
              <w:rPr>
                <w:rFonts w:ascii="Times New Roman" w:hAnsi="Times New Roman"/>
                <w:sz w:val="17"/>
              </w:rPr>
              <w:t>automatisierte Wartung</w:t>
            </w:r>
          </w:p>
        </w:tc>
        <w:tc>
          <w:tcPr>
            <w:tcW w:type="dxa" w:w="2066"/>
            <w:vAlign w:val="top"/>
            <w:tcMar>
              <w:top w:w="60" w:type="dxa"/>
              <w:start w:w="90" w:type="dxa"/>
              <w:bottom w:w="60" w:type="dxa"/>
              <w:end w:w="90" w:type="dxa"/>
            </w:tcMar>
            <w:shd w:fill="F1F3F3"/>
          </w:tcPr>
          <w:p>
            <w:pPr>
              <w:keepLines/>
              <w:spacing w:after="0"/>
            </w:pPr>
            <w:r/>
            <w:r>
              <w:rPr>
                <w:rFonts w:ascii="Times New Roman" w:hAnsi="Times New Roman"/>
                <w:sz w:val="17"/>
              </w:rPr>
              <w:t>Rechtekette Anlage 4</w:t>
            </w:r>
          </w:p>
        </w:tc>
      </w:tr>
      <w:tr>
        <w:trPr>
          <w:cantSplit/>
        </w:trPr>
        <w:tc>
          <w:tcPr>
            <w:tcW w:type="dxa" w:w="1287"/>
            <w:vAlign w:val="top"/>
            <w:tcMar>
              <w:top w:w="60" w:type="dxa"/>
              <w:start w:w="90" w:type="dxa"/>
              <w:bottom w:w="60" w:type="dxa"/>
              <w:end w:w="90" w:type="dxa"/>
            </w:tcMar>
          </w:tcPr>
          <w:p>
            <w:pPr>
              <w:keepLines/>
              <w:spacing w:after="0"/>
            </w:pPr>
            <w:r/>
            <w:r>
              <w:rPr>
                <w:rFonts w:ascii="Times New Roman" w:hAnsi="Times New Roman"/>
                <w:sz w:val="17"/>
              </w:rPr>
              <w:t>5</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Zertifikate und Schlüsselmaterial</w:t>
            </w:r>
          </w:p>
        </w:tc>
        <w:tc>
          <w:tcPr>
            <w:tcW w:type="dxa" w:w="1804"/>
            <w:vAlign w:val="top"/>
            <w:tcMar>
              <w:top w:w="60" w:type="dxa"/>
              <w:start w:w="90" w:type="dxa"/>
              <w:bottom w:w="60" w:type="dxa"/>
              <w:end w:w="90" w:type="dxa"/>
            </w:tcMar>
          </w:tcPr>
          <w:p>
            <w:pPr>
              <w:keepLines/>
              <w:spacing w:after="0"/>
            </w:pPr>
            <w:r/>
            <w:r>
              <w:rPr>
                <w:rFonts w:ascii="Times New Roman" w:hAnsi="Times New Roman"/>
                <w:sz w:val="17"/>
              </w:rPr>
              <w:t>nur nach kontrollierter Neuausstellung</w:t>
            </w:r>
          </w:p>
        </w:tc>
        <w:tc>
          <w:tcPr>
            <w:tcW w:type="dxa" w:w="1820"/>
            <w:vAlign w:val="top"/>
            <w:tcMar>
              <w:top w:w="60" w:type="dxa"/>
              <w:start w:w="90" w:type="dxa"/>
              <w:bottom w:w="60" w:type="dxa"/>
              <w:end w:w="90" w:type="dxa"/>
            </w:tcMar>
          </w:tcPr>
          <w:p>
            <w:pPr>
              <w:keepLines/>
              <w:spacing w:after="0"/>
            </w:pPr>
            <w:r/>
            <w:r>
              <w:rPr>
                <w:rFonts w:ascii="Times New Roman" w:hAnsi="Times New Roman"/>
                <w:sz w:val="17"/>
              </w:rPr>
              <w:t>Systemzugang</w:t>
            </w:r>
          </w:p>
        </w:tc>
        <w:tc>
          <w:tcPr>
            <w:tcW w:type="dxa" w:w="2066"/>
            <w:vAlign w:val="top"/>
            <w:tcMar>
              <w:top w:w="60" w:type="dxa"/>
              <w:start w:w="90" w:type="dxa"/>
              <w:bottom w:w="60" w:type="dxa"/>
              <w:end w:w="90" w:type="dxa"/>
            </w:tcMar>
          </w:tcPr>
          <w:p>
            <w:pPr>
              <w:keepLines/>
              <w:spacing w:after="0"/>
            </w:pPr>
            <w:r/>
            <w:r>
              <w:rPr>
                <w:rFonts w:ascii="Times New Roman" w:hAnsi="Times New Roman"/>
                <w:sz w:val="17"/>
              </w:rPr>
              <w:t>Schlüsselübergabeprotokoll</w:t>
            </w:r>
          </w:p>
        </w:tc>
      </w:tr>
      <w:tr>
        <w:trPr>
          <w:cantSplit/>
        </w:trPr>
        <w:tc>
          <w:tcPr>
            <w:tcW w:type="dxa" w:w="1287"/>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2094"/>
            <w:vAlign w:val="top"/>
            <w:tcMar>
              <w:top w:w="60" w:type="dxa"/>
              <w:start w:w="90" w:type="dxa"/>
              <w:bottom w:w="60" w:type="dxa"/>
              <w:end w:w="90" w:type="dxa"/>
            </w:tcMar>
            <w:shd w:fill="F1F3F3"/>
          </w:tcPr>
          <w:p>
            <w:pPr>
              <w:keepLines/>
              <w:spacing w:after="0"/>
            </w:pPr>
            <w:r/>
            <w:r>
              <w:rPr>
                <w:rFonts w:ascii="Times New Roman" w:hAnsi="Times New Roman"/>
                <w:sz w:val="17"/>
              </w:rPr>
              <w:t>Wartungsvereinbarungen mit Herstellern</w:t>
            </w:r>
          </w:p>
        </w:tc>
        <w:tc>
          <w:tcPr>
            <w:tcW w:type="dxa" w:w="1804"/>
            <w:vAlign w:val="top"/>
            <w:tcMar>
              <w:top w:w="60" w:type="dxa"/>
              <w:start w:w="90" w:type="dxa"/>
              <w:bottom w:w="60" w:type="dxa"/>
              <w:end w:w="90" w:type="dxa"/>
            </w:tcMar>
            <w:shd w:fill="F1F3F3"/>
          </w:tcPr>
          <w:p>
            <w:pPr>
              <w:keepLines/>
              <w:spacing w:after="0"/>
            </w:pPr>
            <w:r/>
            <w:r>
              <w:rPr>
                <w:rFonts w:ascii="Times New Roman" w:hAnsi="Times New Roman"/>
                <w:sz w:val="17"/>
              </w:rPr>
              <w:t>nach jeweiliger Zustimmung</w:t>
            </w:r>
          </w:p>
        </w:tc>
        <w:tc>
          <w:tcPr>
            <w:tcW w:type="dxa" w:w="1820"/>
            <w:vAlign w:val="top"/>
            <w:tcMar>
              <w:top w:w="60" w:type="dxa"/>
              <w:start w:w="90" w:type="dxa"/>
              <w:bottom w:w="60" w:type="dxa"/>
              <w:end w:w="90" w:type="dxa"/>
            </w:tcMar>
            <w:shd w:fill="F1F3F3"/>
          </w:tcPr>
          <w:p>
            <w:pPr>
              <w:keepLines/>
              <w:spacing w:after="0"/>
            </w:pPr>
            <w:r/>
            <w:r>
              <w:rPr>
                <w:rFonts w:ascii="Times New Roman" w:hAnsi="Times New Roman"/>
                <w:sz w:val="17"/>
              </w:rPr>
              <w:t>Second-Level-Support</w:t>
            </w:r>
          </w:p>
        </w:tc>
        <w:tc>
          <w:tcPr>
            <w:tcW w:type="dxa" w:w="2066"/>
            <w:vAlign w:val="top"/>
            <w:tcMar>
              <w:top w:w="60" w:type="dxa"/>
              <w:start w:w="90" w:type="dxa"/>
              <w:bottom w:w="60" w:type="dxa"/>
              <w:end w:w="90" w:type="dxa"/>
            </w:tcMar>
            <w:shd w:fill="F1F3F3"/>
          </w:tcPr>
          <w:p>
            <w:pPr>
              <w:keepLines/>
              <w:spacing w:after="0"/>
            </w:pPr>
            <w:r/>
            <w:r>
              <w:rPr>
                <w:rFonts w:ascii="Times New Roman" w:hAnsi="Times New Roman"/>
                <w:sz w:val="17"/>
              </w:rPr>
              <w:t>Zustimmungsliste Anlage 6</w:t>
            </w:r>
          </w:p>
        </w:tc>
      </w:tr>
    </w:tbl>
    <w:p>
      <w:pPr>
        <w:spacing w:after="0" w:before="40"/>
      </w:pPr>
    </w:p>
    <w:p>
      <w:pPr>
        <w:pStyle w:val="Heading1"/>
      </w:pPr>
      <w:r>
        <w:t>Personal und Organisation</w:t>
      </w:r>
    </w:p>
    <w:tbl>
      <w:tblPr>
        <w:tblStyle w:val="TableGrid"/>
        <w:tblW w:type="dxa" w:w="9070"/>
        <w:jc w:val="left"/>
        <w:tblLayout w:type="fixed"/>
        <w:tblLook w:firstColumn="1" w:firstRow="1" w:lastColumn="0" w:lastRow="0" w:noHBand="0" w:noVBand="1" w:val="04A0"/>
      </w:tblPr>
      <w:tblGrid>
        <w:gridCol w:w="1842"/>
        <w:gridCol w:w="1660"/>
        <w:gridCol w:w="1668"/>
        <w:gridCol w:w="1880"/>
        <w:gridCol w:w="2020"/>
      </w:tblGrid>
      <w:tr>
        <w:trPr>
          <w:tblHeader w:val="true"/>
          <w:cantSplit/>
        </w:trPr>
        <w:tc>
          <w:tcPr>
            <w:tcW w:type="dxa" w:w="1842"/>
            <w:vAlign w:val="top"/>
            <w:tcMar>
              <w:top w:w="60" w:type="dxa"/>
              <w:start w:w="90" w:type="dxa"/>
              <w:bottom w:w="60" w:type="dxa"/>
              <w:end w:w="90" w:type="dxa"/>
            </w:tcMar>
            <w:shd w:fill="01696F"/>
          </w:tcPr>
          <w:p>
            <w:pPr>
              <w:keepLines/>
              <w:spacing w:after="0"/>
            </w:pPr>
            <w:r/>
            <w:r>
              <w:rPr>
                <w:rFonts w:ascii="Times New Roman" w:hAnsi="Times New Roman"/>
                <w:b/>
                <w:color w:val="FFFFFF"/>
                <w:sz w:val="17"/>
              </w:rPr>
              <w:t>Funktion</w:t>
            </w:r>
          </w:p>
        </w:tc>
        <w:tc>
          <w:tcPr>
            <w:tcW w:type="dxa" w:w="166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bisherige Besetzung</w:t>
            </w:r>
          </w:p>
        </w:tc>
        <w:tc>
          <w:tcPr>
            <w:tcW w:type="dxa" w:w="16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Übergang</w:t>
            </w:r>
          </w:p>
        </w:tc>
        <w:tc>
          <w:tcPr>
            <w:tcW w:type="dxa" w:w="18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neue Zuordnung</w:t>
            </w:r>
          </w:p>
        </w:tc>
        <w:tc>
          <w:tcPr>
            <w:tcW w:type="dxa" w:w="2020"/>
            <w:vAlign w:val="top"/>
            <w:tcMar>
              <w:top w:w="60" w:type="dxa"/>
              <w:start w:w="90" w:type="dxa"/>
              <w:bottom w:w="60" w:type="dxa"/>
              <w:end w:w="90" w:type="dxa"/>
            </w:tcMar>
            <w:shd w:fill="01696F"/>
          </w:tcPr>
          <w:p>
            <w:pPr>
              <w:keepLines/>
              <w:spacing w:after="0"/>
            </w:pPr>
            <w:r/>
            <w:r>
              <w:rPr>
                <w:rFonts w:ascii="Times New Roman" w:hAnsi="Times New Roman"/>
                <w:b/>
                <w:color w:val="FFFFFF"/>
                <w:sz w:val="17"/>
              </w:rPr>
              <w:t>offene Voraussetzung</w:t>
            </w:r>
          </w:p>
        </w:tc>
      </w:tr>
      <w:tr>
        <w:trPr>
          <w:cantSplit/>
        </w:trPr>
        <w:tc>
          <w:tcPr>
            <w:tcW w:type="dxa" w:w="1842"/>
            <w:vAlign w:val="top"/>
            <w:tcMar>
              <w:top w:w="60" w:type="dxa"/>
              <w:start w:w="90" w:type="dxa"/>
              <w:bottom w:w="60" w:type="dxa"/>
              <w:end w:w="90" w:type="dxa"/>
            </w:tcMar>
          </w:tcPr>
          <w:p>
            <w:pPr>
              <w:keepLines/>
              <w:spacing w:after="0"/>
            </w:pPr>
            <w:r/>
            <w:r>
              <w:rPr>
                <w:rFonts w:ascii="Times New Roman" w:hAnsi="Times New Roman"/>
                <w:sz w:val="17"/>
              </w:rPr>
              <w:t>Service Manager</w:t>
            </w:r>
          </w:p>
        </w:tc>
        <w:tc>
          <w:tcPr>
            <w:tcW w:type="dxa" w:w="1660"/>
            <w:vAlign w:val="top"/>
            <w:tcMar>
              <w:top w:w="60" w:type="dxa"/>
              <w:start w:w="90" w:type="dxa"/>
              <w:bottom w:w="60" w:type="dxa"/>
              <w:end w:w="90" w:type="dxa"/>
            </w:tcMar>
          </w:tcPr>
          <w:p>
            <w:pPr>
              <w:keepLines/>
              <w:spacing w:after="0"/>
            </w:pPr>
            <w:r/>
            <w:r>
              <w:rPr>
                <w:rFonts w:ascii="Times New Roman" w:hAnsi="Times New Roman"/>
                <w:sz w:val="17"/>
              </w:rPr>
              <w:t>1 Vollzeitkraft</w:t>
            </w:r>
          </w:p>
        </w:tc>
        <w:tc>
          <w:tcPr>
            <w:tcW w:type="dxa" w:w="1668"/>
            <w:vAlign w:val="top"/>
            <w:tcMar>
              <w:top w:w="60" w:type="dxa"/>
              <w:start w:w="90" w:type="dxa"/>
              <w:bottom w:w="60" w:type="dxa"/>
              <w:end w:w="90" w:type="dxa"/>
            </w:tcMar>
          </w:tcPr>
          <w:p>
            <w:pPr>
              <w:keepLines/>
              <w:spacing w:after="0"/>
            </w:pPr>
            <w:r/>
            <w:r>
              <w:rPr>
                <w:rFonts w:ascii="Times New Roman" w:hAnsi="Times New Roman"/>
                <w:sz w:val="17"/>
              </w:rPr>
              <w:t>Betriebsübergang bestätigt</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unverändert</w:t>
            </w:r>
          </w:p>
        </w:tc>
        <w:tc>
          <w:tcPr>
            <w:tcW w:type="dxa" w:w="2020"/>
            <w:vAlign w:val="top"/>
            <w:tcMar>
              <w:top w:w="60" w:type="dxa"/>
              <w:start w:w="90" w:type="dxa"/>
              <w:bottom w:w="60" w:type="dxa"/>
              <w:end w:w="90" w:type="dxa"/>
            </w:tcMar>
          </w:tcPr>
          <w:p>
            <w:pPr>
              <w:keepLines/>
              <w:spacing w:after="0"/>
            </w:pPr>
            <w:r/>
            <w:r>
              <w:rPr>
                <w:rFonts w:ascii="Times New Roman" w:hAnsi="Times New Roman"/>
                <w:sz w:val="17"/>
              </w:rPr>
              <w:t>Zustimmung zur Sicherheitsüberprüfung</w:t>
            </w:r>
          </w:p>
        </w:tc>
      </w:tr>
      <w:tr>
        <w:trPr>
          <w:cantSplit/>
        </w:trPr>
        <w:tc>
          <w:tcPr>
            <w:tcW w:type="dxa" w:w="1842"/>
            <w:vAlign w:val="top"/>
            <w:tcMar>
              <w:top w:w="60" w:type="dxa"/>
              <w:start w:w="90" w:type="dxa"/>
              <w:bottom w:w="60" w:type="dxa"/>
              <w:end w:w="90" w:type="dxa"/>
            </w:tcMar>
            <w:shd w:fill="F1F3F3"/>
          </w:tcPr>
          <w:p>
            <w:pPr>
              <w:keepLines/>
              <w:spacing w:after="0"/>
            </w:pPr>
            <w:r/>
            <w:r>
              <w:rPr>
                <w:rFonts w:ascii="Times New Roman" w:hAnsi="Times New Roman"/>
                <w:sz w:val="17"/>
              </w:rPr>
              <w:t>Systemadministration</w:t>
            </w:r>
          </w:p>
        </w:tc>
        <w:tc>
          <w:tcPr>
            <w:tcW w:type="dxa" w:w="1660"/>
            <w:vAlign w:val="top"/>
            <w:tcMar>
              <w:top w:w="60" w:type="dxa"/>
              <w:start w:w="90" w:type="dxa"/>
              <w:bottom w:w="60" w:type="dxa"/>
              <w:end w:w="90" w:type="dxa"/>
            </w:tcMar>
            <w:shd w:fill="F1F3F3"/>
          </w:tcPr>
          <w:p>
            <w:pPr>
              <w:keepLines/>
              <w:spacing w:after="0"/>
            </w:pPr>
            <w:r/>
            <w:r>
              <w:rPr>
                <w:rFonts w:ascii="Times New Roman" w:hAnsi="Times New Roman"/>
                <w:sz w:val="17"/>
              </w:rPr>
              <w:t>6 Vollzeitkräfte</w:t>
            </w:r>
          </w:p>
        </w:tc>
        <w:tc>
          <w:tcPr>
            <w:tcW w:type="dxa" w:w="1668"/>
            <w:vAlign w:val="top"/>
            <w:tcMar>
              <w:top w:w="60" w:type="dxa"/>
              <w:start w:w="90" w:type="dxa"/>
              <w:bottom w:w="60" w:type="dxa"/>
              <w:end w:w="90" w:type="dxa"/>
            </w:tcMar>
            <w:shd w:fill="F1F3F3"/>
          </w:tcPr>
          <w:p>
            <w:pPr>
              <w:keepLines/>
              <w:spacing w:after="0"/>
            </w:pPr>
            <w:r/>
            <w:r>
              <w:rPr>
                <w:rFonts w:ascii="Times New Roman" w:hAnsi="Times New Roman"/>
                <w:sz w:val="17"/>
              </w:rPr>
              <w:t>5 bestätigt, 1 ausgeschieden</w:t>
            </w:r>
          </w:p>
        </w:tc>
        <w:tc>
          <w:tcPr>
            <w:tcW w:type="dxa" w:w="1880"/>
            <w:vAlign w:val="top"/>
            <w:tcMar>
              <w:top w:w="60" w:type="dxa"/>
              <w:start w:w="90" w:type="dxa"/>
              <w:bottom w:w="60" w:type="dxa"/>
              <w:end w:w="90" w:type="dxa"/>
            </w:tcMar>
            <w:shd w:fill="F1F3F3"/>
          </w:tcPr>
          <w:p>
            <w:pPr>
              <w:keepLines/>
              <w:spacing w:after="0"/>
            </w:pPr>
            <w:r/>
            <w:r>
              <w:rPr>
                <w:rFonts w:ascii="Times New Roman" w:hAnsi="Times New Roman"/>
                <w:sz w:val="17"/>
              </w:rPr>
              <w:t>5 plus benannte Reservekraft</w:t>
            </w:r>
          </w:p>
        </w:tc>
        <w:tc>
          <w:tcPr>
            <w:tcW w:type="dxa" w:w="2020"/>
            <w:vAlign w:val="top"/>
            <w:tcMar>
              <w:top w:w="60" w:type="dxa"/>
              <w:start w:w="90" w:type="dxa"/>
              <w:bottom w:w="60" w:type="dxa"/>
              <w:end w:w="90" w:type="dxa"/>
            </w:tcMar>
            <w:shd w:fill="F1F3F3"/>
          </w:tcPr>
          <w:p>
            <w:pPr>
              <w:keepLines/>
              <w:spacing w:after="0"/>
            </w:pPr>
            <w:r/>
            <w:r>
              <w:rPr>
                <w:rFonts w:ascii="Times New Roman" w:hAnsi="Times New Roman"/>
                <w:sz w:val="17"/>
              </w:rPr>
              <w:t>Qualifikationsnachweis Reserve</w:t>
            </w:r>
          </w:p>
        </w:tc>
      </w:tr>
      <w:tr>
        <w:trPr>
          <w:cantSplit/>
        </w:trPr>
        <w:tc>
          <w:tcPr>
            <w:tcW w:type="dxa" w:w="1842"/>
            <w:vAlign w:val="top"/>
            <w:tcMar>
              <w:top w:w="60" w:type="dxa"/>
              <w:start w:w="90" w:type="dxa"/>
              <w:bottom w:w="60" w:type="dxa"/>
              <w:end w:w="90" w:type="dxa"/>
            </w:tcMar>
          </w:tcPr>
          <w:p>
            <w:pPr>
              <w:keepLines/>
              <w:spacing w:after="0"/>
            </w:pPr>
            <w:r/>
            <w:r>
              <w:rPr>
                <w:rFonts w:ascii="Times New Roman" w:hAnsi="Times New Roman"/>
                <w:sz w:val="17"/>
              </w:rPr>
              <w:t>Datenbankbetrieb</w:t>
            </w:r>
          </w:p>
        </w:tc>
        <w:tc>
          <w:tcPr>
            <w:tcW w:type="dxa" w:w="1660"/>
            <w:vAlign w:val="top"/>
            <w:tcMar>
              <w:top w:w="60" w:type="dxa"/>
              <w:start w:w="90" w:type="dxa"/>
              <w:bottom w:w="60" w:type="dxa"/>
              <w:end w:w="90" w:type="dxa"/>
            </w:tcMar>
          </w:tcPr>
          <w:p>
            <w:pPr>
              <w:keepLines/>
              <w:spacing w:after="0"/>
            </w:pPr>
            <w:r/>
            <w:r>
              <w:rPr>
                <w:rFonts w:ascii="Times New Roman" w:hAnsi="Times New Roman"/>
                <w:sz w:val="17"/>
              </w:rPr>
              <w:t>2 Vollzeitkräfte</w:t>
            </w:r>
          </w:p>
        </w:tc>
        <w:tc>
          <w:tcPr>
            <w:tcW w:type="dxa" w:w="1668"/>
            <w:vAlign w:val="top"/>
            <w:tcMar>
              <w:top w:w="60" w:type="dxa"/>
              <w:start w:w="90" w:type="dxa"/>
              <w:bottom w:w="60" w:type="dxa"/>
              <w:end w:w="90" w:type="dxa"/>
            </w:tcMar>
          </w:tcPr>
          <w:p>
            <w:pPr>
              <w:keepLines/>
              <w:spacing w:after="0"/>
            </w:pPr>
            <w:r/>
            <w:r>
              <w:rPr>
                <w:rFonts w:ascii="Times New Roman" w:hAnsi="Times New Roman"/>
                <w:sz w:val="17"/>
              </w:rPr>
              <w:t>beide bestätigt</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unverändert</w:t>
            </w:r>
          </w:p>
        </w:tc>
        <w:tc>
          <w:tcPr>
            <w:tcW w:type="dxa" w:w="2020"/>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1842"/>
            <w:vAlign w:val="top"/>
            <w:tcMar>
              <w:top w:w="60" w:type="dxa"/>
              <w:start w:w="90" w:type="dxa"/>
              <w:bottom w:w="60" w:type="dxa"/>
              <w:end w:w="90" w:type="dxa"/>
            </w:tcMar>
            <w:shd w:fill="F1F3F3"/>
          </w:tcPr>
          <w:p>
            <w:pPr>
              <w:keepLines/>
              <w:spacing w:after="0"/>
            </w:pPr>
            <w:r/>
            <w:r>
              <w:rPr>
                <w:rFonts w:ascii="Times New Roman" w:hAnsi="Times New Roman"/>
                <w:sz w:val="17"/>
              </w:rPr>
              <w:t>Informationssicherheit</w:t>
            </w:r>
          </w:p>
        </w:tc>
        <w:tc>
          <w:tcPr>
            <w:tcW w:type="dxa" w:w="1660"/>
            <w:vAlign w:val="top"/>
            <w:tcMar>
              <w:top w:w="60" w:type="dxa"/>
              <w:start w:w="90" w:type="dxa"/>
              <w:bottom w:w="60" w:type="dxa"/>
              <w:end w:w="90" w:type="dxa"/>
            </w:tcMar>
            <w:shd w:fill="F1F3F3"/>
          </w:tcPr>
          <w:p>
            <w:pPr>
              <w:keepLines/>
              <w:spacing w:after="0"/>
            </w:pPr>
            <w:r/>
            <w:r>
              <w:rPr>
                <w:rFonts w:ascii="Times New Roman" w:hAnsi="Times New Roman"/>
                <w:sz w:val="17"/>
              </w:rPr>
              <w:t>externer Beauftragter</w:t>
            </w:r>
          </w:p>
        </w:tc>
        <w:tc>
          <w:tcPr>
            <w:tcW w:type="dxa" w:w="1668"/>
            <w:vAlign w:val="top"/>
            <w:tcMar>
              <w:top w:w="60" w:type="dxa"/>
              <w:start w:w="90" w:type="dxa"/>
              <w:bottom w:w="60" w:type="dxa"/>
              <w:end w:w="90" w:type="dxa"/>
            </w:tcMar>
            <w:shd w:fill="F1F3F3"/>
          </w:tcPr>
          <w:p>
            <w:pPr>
              <w:keepLines/>
              <w:spacing w:after="0"/>
            </w:pPr>
            <w:r/>
            <w:r>
              <w:rPr>
                <w:rFonts w:ascii="Times New Roman" w:hAnsi="Times New Roman"/>
                <w:sz w:val="17"/>
              </w:rPr>
              <w:t>Vertrag noch nicht übertragen</w:t>
            </w:r>
          </w:p>
        </w:tc>
        <w:tc>
          <w:tcPr>
            <w:tcW w:type="dxa" w:w="1880"/>
            <w:vAlign w:val="top"/>
            <w:tcMar>
              <w:top w:w="60" w:type="dxa"/>
              <w:start w:w="90" w:type="dxa"/>
              <w:bottom w:w="60" w:type="dxa"/>
              <w:end w:w="90" w:type="dxa"/>
            </w:tcMar>
            <w:shd w:fill="F1F3F3"/>
          </w:tcPr>
          <w:p>
            <w:pPr>
              <w:keepLines/>
              <w:spacing w:after="0"/>
            </w:pPr>
            <w:r/>
            <w:r>
              <w:rPr>
                <w:rFonts w:ascii="Times New Roman" w:hAnsi="Times New Roman"/>
                <w:sz w:val="17"/>
              </w:rPr>
              <w:t>neue Rahmenvereinbarung</w:t>
            </w:r>
          </w:p>
        </w:tc>
        <w:tc>
          <w:tcPr>
            <w:tcW w:type="dxa" w:w="2020"/>
            <w:vAlign w:val="top"/>
            <w:tcMar>
              <w:top w:w="60" w:type="dxa"/>
              <w:start w:w="90" w:type="dxa"/>
              <w:bottom w:w="60" w:type="dxa"/>
              <w:end w:w="90" w:type="dxa"/>
            </w:tcMar>
            <w:shd w:fill="F1F3F3"/>
          </w:tcPr>
          <w:p>
            <w:pPr>
              <w:keepLines/>
              <w:spacing w:after="0"/>
            </w:pPr>
            <w:r/>
            <w:r>
              <w:rPr>
                <w:rFonts w:ascii="Times New Roman" w:hAnsi="Times New Roman"/>
                <w:sz w:val="17"/>
              </w:rPr>
              <w:t>Bestellung und Nachweis bis 08.11.2026</w:t>
            </w:r>
          </w:p>
        </w:tc>
      </w:tr>
      <w:tr>
        <w:trPr>
          <w:cantSplit/>
        </w:trPr>
        <w:tc>
          <w:tcPr>
            <w:tcW w:type="dxa" w:w="1842"/>
            <w:vAlign w:val="top"/>
            <w:tcMar>
              <w:top w:w="60" w:type="dxa"/>
              <w:start w:w="90" w:type="dxa"/>
              <w:bottom w:w="60" w:type="dxa"/>
              <w:end w:w="90" w:type="dxa"/>
            </w:tcMar>
          </w:tcPr>
          <w:p>
            <w:pPr>
              <w:keepLines/>
              <w:spacing w:after="0"/>
            </w:pPr>
            <w:r/>
            <w:r>
              <w:rPr>
                <w:rFonts w:ascii="Times New Roman" w:hAnsi="Times New Roman"/>
                <w:sz w:val="17"/>
              </w:rPr>
              <w:t>24/7-Rufbereitschaft</w:t>
            </w:r>
          </w:p>
        </w:tc>
        <w:tc>
          <w:tcPr>
            <w:tcW w:type="dxa" w:w="1660"/>
            <w:vAlign w:val="top"/>
            <w:tcMar>
              <w:top w:w="60" w:type="dxa"/>
              <w:start w:w="90" w:type="dxa"/>
              <w:bottom w:w="60" w:type="dxa"/>
              <w:end w:w="90" w:type="dxa"/>
            </w:tcMar>
          </w:tcPr>
          <w:p>
            <w:pPr>
              <w:keepLines/>
              <w:spacing w:after="0"/>
            </w:pPr>
            <w:r/>
            <w:r>
              <w:rPr>
                <w:rFonts w:ascii="Times New Roman" w:hAnsi="Times New Roman"/>
                <w:sz w:val="17"/>
              </w:rPr>
              <w:t>Acht-Personen-Pool</w:t>
            </w:r>
          </w:p>
        </w:tc>
        <w:tc>
          <w:tcPr>
            <w:tcW w:type="dxa" w:w="1668"/>
            <w:vAlign w:val="top"/>
            <w:tcMar>
              <w:top w:w="60" w:type="dxa"/>
              <w:start w:w="90" w:type="dxa"/>
              <w:bottom w:w="60" w:type="dxa"/>
              <w:end w:w="90" w:type="dxa"/>
            </w:tcMar>
          </w:tcPr>
          <w:p>
            <w:pPr>
              <w:keepLines/>
              <w:spacing w:after="0"/>
            </w:pPr>
            <w:r/>
            <w:r>
              <w:rPr>
                <w:rFonts w:ascii="Times New Roman" w:hAnsi="Times New Roman"/>
                <w:sz w:val="17"/>
              </w:rPr>
              <w:t>sieben Übergänge bestätigt</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sieben plus Geschäftsführerin als Reserve</w:t>
            </w:r>
          </w:p>
        </w:tc>
        <w:tc>
          <w:tcPr>
            <w:tcW w:type="dxa" w:w="2020"/>
            <w:vAlign w:val="top"/>
            <w:tcMar>
              <w:top w:w="60" w:type="dxa"/>
              <w:start w:w="90" w:type="dxa"/>
              <w:bottom w:w="60" w:type="dxa"/>
              <w:end w:w="90" w:type="dxa"/>
            </w:tcMar>
          </w:tcPr>
          <w:p>
            <w:pPr>
              <w:keepLines/>
              <w:spacing w:after="0"/>
            </w:pPr>
            <w:r/>
            <w:r>
              <w:rPr>
                <w:rFonts w:ascii="Times New Roman" w:hAnsi="Times New Roman"/>
                <w:sz w:val="17"/>
              </w:rPr>
              <w:t>belastbarer Dienstplan</w:t>
            </w:r>
          </w:p>
        </w:tc>
      </w:tr>
    </w:tbl>
    <w:p>
      <w:pPr>
        <w:spacing w:after="0" w:before="40"/>
      </w:pPr>
    </w:p>
    <w:p>
      <w:pPr>
        <w:pStyle w:val="Heading1"/>
      </w:pPr>
      <w:r>
        <w:t>Übernommene Vertragspflichten</w:t>
      </w:r>
    </w:p>
    <w:p>
      <w:pPr>
        <w:keepNext/>
        <w:keepLines/>
      </w:pPr>
      <w:r>
        <w:t>Die Erwerberin bietet an, alle Haupt- und Nebenpflichten des ursprünglichen Vertrags unverändert zu übernehmen. Insbesondere bleiben Leistungsumfang, Service Levels, Vertragsstrafen, Preise, Preisgleitklausel, Laufzeit, Kündigungsrechte, Datenschutzpflichten und Haftungsgrenzen unverändert. Forderungen aus der Zeit vor dem Übergang werden insolvenzrechtlich gesondert behandelt; daraus folgt keine Erweiterung der Vergütungspflicht der Stadt.</w:t>
      </w:r>
    </w:p>
    <w:p>
      <w:pPr>
        <w:pStyle w:val="Heading1"/>
        <w:keepNext/>
        <w:keepLines/>
      </w:pPr>
      <w:r>
        <w:t>Bedingungen vor Betriebsfreigabe</w:t>
      </w:r>
    </w:p>
    <w:p>
      <w:pPr>
        <w:pStyle w:val="ListNumber"/>
        <w:keepNext/>
        <w:keepLines/>
      </w:pPr>
      <w:r>
        <w:t>schriftliche Zustimmung der Stadt zum Auftragnehmerwechsel;</w:t>
      </w:r>
    </w:p>
    <w:p>
      <w:pPr>
        <w:pStyle w:val="ListNumber"/>
        <w:keepNext/>
        <w:keepLines/>
      </w:pPr>
      <w:r>
        <w:t>wirksame Datenschutz- und Geheimschutzfreigaben;</w:t>
      </w:r>
    </w:p>
    <w:p>
      <w:pPr>
        <w:pStyle w:val="ListNumber"/>
        <w:keepNext/>
        <w:keepLines/>
      </w:pPr>
      <w:r>
        <w:t>Nachweis sämtlicher ursprünglicher Eignungsanforderungen durch die Erwerberin;</w:t>
      </w:r>
    </w:p>
    <w:p>
      <w:pPr>
        <w:pStyle w:val="ListNumber"/>
        <w:keepNext/>
        <w:keepLines/>
      </w:pPr>
      <w:r>
        <w:t>dokumentierte Neuausstellung privilegierter Zugänge;</w:t>
      </w:r>
    </w:p>
    <w:p>
      <w:pPr>
        <w:pStyle w:val="ListNumber"/>
        <w:keepNext/>
        <w:keepLines/>
      </w:pPr>
      <w:r>
        <w:t>unterzeichneter Eintritts- und Fortführungsvertrag ohne Änderung des wirtschaftlichen Gleichgewichts.</w:t>
      </w:r>
    </w:p>
    <w:p>
      <w:pPr>
        <w:keepNext/>
        <w:keepLines/>
      </w:pPr>
      <w:r>
        <w:t>Für die NordSys Betriebserwerber GmbH</w:t>
      </w:r>
    </w:p>
    <w:p>
      <w:pPr>
        <w:keepLines/>
      </w:pPr>
      <w:r>
        <w:t>Mira Feld, Geschäftsführerin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NordSys Betriebserwerber GmbH</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Übertragene Betriebsmittel und Vertragspflichten für die Fortführung der Fachverfahren</dc:title>
  <dc:subject>Übertragungsverzeichnis zum Unternehmenskaufvertrag | Az. HB-IT-SERVICE-2026</dc:subject>
  <dc:creator>NordSys Betriebserwerber GmbH</dc:creator>
  <cp:keywords>Vergaberecht, HB-IT-SERVICE-2026, Übertragungsverzeichnis zum Unternehmenskaufvertrag</cp:keywords>
  <dc:description>generated by python-docx</dc:description>
  <cp:lastModifiedBy>NordSys Betriebserwerber GmbH</cp:lastModifiedBy>
  <cp:revision>1</cp:revision>
  <dcterms:created xsi:type="dcterms:W3CDTF">2000-01-01T00:00:00Z</dcterms:created>
  <dcterms:modified xsi:type="dcterms:W3CDTF">2000-01-01T00:00:00Z</dcterms:modified>
  <cp:category>Vergabeakte</cp:category>
</cp:coreProperties>
</file>