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Zentrale Vergabestelle</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06.11.2026</w:t>
              <w:br/>
            </w:r>
            <w:r>
              <w:rPr>
                <w:rFonts w:ascii="Times New Roman" w:hAnsi="Times New Roman"/>
                <w:color w:val="646464"/>
                <w:sz w:val="18"/>
              </w:rPr>
              <w:t>Aktenzeichen: HB-IT-SERVICE-2026</w:t>
              <w:br/>
            </w:r>
            <w:r>
              <w:rPr>
                <w:rFonts w:ascii="Times New Roman" w:hAnsi="Times New Roman"/>
                <w:color w:val="646464"/>
                <w:sz w:val="18"/>
              </w:rPr>
              <w:t>Eignungs- und Kontinuitätsmatrix</w:t>
            </w:r>
          </w:p>
        </w:tc>
      </w:tr>
    </w:tbl>
    <w:p>
      <w:pPr>
        <w:spacing w:before="200" w:after="40"/>
      </w:pPr>
      <w:r>
        <w:rPr>
          <w:rFonts w:ascii="Times New Roman" w:hAnsi="Times New Roman"/>
          <w:color w:val="646464"/>
          <w:sz w:val="15"/>
        </w:rPr>
        <w:t>Stadt Hafenburg - Zentrale Vergabestelle · Hafenallee 12, 21079 Hafenburg</w:t>
      </w:r>
    </w:p>
    <w:p>
      <w:pPr>
        <w:spacing w:after="240"/>
      </w:pPr>
      <w:r>
        <w:t>Interne Vergabe-, Fach- und Rechtsakte</w:t>
      </w:r>
    </w:p>
    <w:p>
      <w:pPr>
        <w:pStyle w:val="Title"/>
      </w:pPr>
      <w:r>
        <w:t>Prüfung der NordSys Betriebserwerber GmbH nach § 132 Abs. 2 Satz 1 Nr. 4 Buchstabe b GWB</w:t>
      </w:r>
    </w:p>
    <w:p>
      <w:pPr>
        <w:pStyle w:val="Heading1"/>
      </w:pPr>
      <w:r>
        <w:t>Prüfansatz</w:t>
      </w:r>
    </w:p>
    <w:p>
      <w:pPr>
        <w:keepNext/>
        <w:keepLines/>
      </w:pPr>
      <w:r>
        <w:t>Der Erwerb aus der Insolvenz genügt nicht allein. Zu prüfen sind kumulativ die Unternehmensumstrukturierung, das vollständige oder teilweise funktionale Einrücken in die ursprüngliche Auftragnehmerstellung, die Erfüllung der ursprünglich festgelegten Eignungsanforderungen und das Ausbleiben weiterer wesentlicher Änderungen im Sinne des § 132 Abs. 1 GWB.</w:t>
      </w:r>
    </w:p>
    <w:p>
      <w:pPr>
        <w:pStyle w:val="Heading1"/>
        <w:keepNext/>
        <w:keepLines/>
      </w:pPr>
      <w:r>
        <w:t>Ursprüngliche Eignungsanforderungen</w:t>
      </w:r>
    </w:p>
    <w:tbl>
      <w:tblPr>
        <w:tblStyle w:val="TableGrid"/>
        <w:tblW w:type="dxa" w:w="9070"/>
        <w:jc w:val="left"/>
        <w:tblLayout w:type="fixed"/>
        <w:tblLook w:firstColumn="1" w:firstRow="1" w:lastColumn="0" w:lastRow="0" w:noHBand="0" w:noVBand="1" w:val="04A0"/>
      </w:tblPr>
      <w:tblGrid>
        <w:gridCol w:w="1741"/>
        <w:gridCol w:w="1802"/>
        <w:gridCol w:w="2011"/>
        <w:gridCol w:w="1251"/>
        <w:gridCol w:w="2265"/>
      </w:tblGrid>
      <w:tr>
        <w:trPr>
          <w:tblHeader w:val="true"/>
          <w:cantSplit/>
        </w:trPr>
        <w:tc>
          <w:tcPr>
            <w:tcW w:type="dxa" w:w="17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Anforderung aus 2023</w:t>
            </w:r>
          </w:p>
        </w:tc>
        <w:tc>
          <w:tcPr>
            <w:tcW w:type="dxa" w:w="18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Ursprünglicher Mindestmaßstab</w:t>
            </w:r>
          </w:p>
        </w:tc>
        <w:tc>
          <w:tcPr>
            <w:tcW w:type="dxa" w:w="20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 Erwerberin</w:t>
            </w:r>
          </w:p>
        </w:tc>
        <w:tc>
          <w:tcPr>
            <w:tcW w:type="dxa" w:w="1251"/>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Status</w:t>
            </w:r>
          </w:p>
        </w:tc>
        <w:tc>
          <w:tcPr>
            <w:tcW w:type="dxa" w:w="2265"/>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Freigabebedingung</w:t>
            </w:r>
          </w:p>
        </w:tc>
      </w:tr>
      <w:tr>
        <w:trPr>
          <w:cantSplit/>
        </w:trPr>
        <w:tc>
          <w:tcPr>
            <w:tcW w:type="dxa" w:w="1741"/>
            <w:vAlign w:val="top"/>
            <w:tcMar>
              <w:top w:w="60" w:type="dxa"/>
              <w:start w:w="90" w:type="dxa"/>
              <w:bottom w:w="60" w:type="dxa"/>
              <w:end w:w="90" w:type="dxa"/>
            </w:tcMar>
          </w:tcPr>
          <w:p>
            <w:pPr>
              <w:keepLines/>
              <w:spacing w:after="0"/>
            </w:pPr>
            <w:r/>
            <w:r>
              <w:rPr>
                <w:rFonts w:ascii="Times New Roman" w:hAnsi="Times New Roman"/>
                <w:sz w:val="17"/>
              </w:rPr>
              <w:t>Berufshaftpflicht</w:t>
            </w:r>
          </w:p>
        </w:tc>
        <w:tc>
          <w:tcPr>
            <w:tcW w:type="dxa" w:w="1802"/>
            <w:vAlign w:val="top"/>
            <w:tcMar>
              <w:top w:w="60" w:type="dxa"/>
              <w:start w:w="90" w:type="dxa"/>
              <w:bottom w:w="60" w:type="dxa"/>
              <w:end w:w="90" w:type="dxa"/>
            </w:tcMar>
          </w:tcPr>
          <w:p>
            <w:pPr>
              <w:keepLines/>
              <w:spacing w:after="0"/>
            </w:pPr>
            <w:r/>
            <w:r>
              <w:rPr>
                <w:rFonts w:ascii="Times New Roman" w:hAnsi="Times New Roman"/>
                <w:sz w:val="17"/>
              </w:rPr>
              <w:t>5 Mio. EUR Personen- und Sachschäden, 2 Mio. EUR Vermögensschäden</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vorläufige Deckungszusage</w:t>
            </w:r>
          </w:p>
        </w:tc>
        <w:tc>
          <w:tcPr>
            <w:tcW w:type="dxa" w:w="1251"/>
            <w:vAlign w:val="top"/>
            <w:tcMar>
              <w:top w:w="60" w:type="dxa"/>
              <w:start w:w="90" w:type="dxa"/>
              <w:bottom w:w="60" w:type="dxa"/>
              <w:end w:w="90" w:type="dxa"/>
            </w:tcMar>
          </w:tcPr>
          <w:p>
            <w:pPr>
              <w:keepLines/>
              <w:spacing w:after="0"/>
            </w:pPr>
            <w:r/>
            <w:r>
              <w:rPr>
                <w:rFonts w:ascii="Times New Roman" w:hAnsi="Times New Roman"/>
                <w:sz w:val="17"/>
              </w:rPr>
              <w:t>gelb</w:t>
            </w:r>
          </w:p>
        </w:tc>
        <w:tc>
          <w:tcPr>
            <w:tcW w:type="dxa" w:w="2265"/>
            <w:vAlign w:val="top"/>
            <w:tcMar>
              <w:top w:w="60" w:type="dxa"/>
              <w:start w:w="90" w:type="dxa"/>
              <w:bottom w:w="60" w:type="dxa"/>
              <w:end w:w="90" w:type="dxa"/>
            </w:tcMar>
          </w:tcPr>
          <w:p>
            <w:pPr>
              <w:keepLines/>
              <w:spacing w:after="0"/>
            </w:pPr>
            <w:r/>
            <w:r>
              <w:rPr>
                <w:rFonts w:ascii="Times New Roman" w:hAnsi="Times New Roman"/>
                <w:sz w:val="17"/>
              </w:rPr>
              <w:t>endgültige Police vor Zustimmung</w:t>
            </w:r>
          </w:p>
        </w:tc>
      </w:tr>
      <w:tr>
        <w:trPr>
          <w:cantSplit/>
        </w:trPr>
        <w:tc>
          <w:tcPr>
            <w:tcW w:type="dxa" w:w="1741"/>
            <w:vAlign w:val="top"/>
            <w:tcMar>
              <w:top w:w="60" w:type="dxa"/>
              <w:start w:w="90" w:type="dxa"/>
              <w:bottom w:w="60" w:type="dxa"/>
              <w:end w:w="90" w:type="dxa"/>
            </w:tcMar>
            <w:shd w:fill="F1F3F3"/>
          </w:tcPr>
          <w:p>
            <w:pPr>
              <w:keepLines/>
              <w:spacing w:after="0"/>
            </w:pPr>
            <w:r/>
            <w:r>
              <w:rPr>
                <w:rFonts w:ascii="Times New Roman" w:hAnsi="Times New Roman"/>
                <w:sz w:val="17"/>
              </w:rPr>
              <w:t>Umsatz IT-Betrieb</w:t>
            </w:r>
          </w:p>
        </w:tc>
        <w:tc>
          <w:tcPr>
            <w:tcW w:type="dxa" w:w="1802"/>
            <w:vAlign w:val="top"/>
            <w:tcMar>
              <w:top w:w="60" w:type="dxa"/>
              <w:start w:w="90" w:type="dxa"/>
              <w:bottom w:w="60" w:type="dxa"/>
              <w:end w:w="90" w:type="dxa"/>
            </w:tcMar>
            <w:shd w:fill="F1F3F3"/>
          </w:tcPr>
          <w:p>
            <w:pPr>
              <w:keepLines/>
              <w:spacing w:after="0"/>
            </w:pPr>
            <w:r/>
            <w:r>
              <w:rPr>
                <w:rFonts w:ascii="Times New Roman" w:hAnsi="Times New Roman"/>
                <w:sz w:val="17"/>
              </w:rPr>
              <w:t>mindestens 4 Mio. EUR im Mittel</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Erwerberin neu gegründet; Finanzierungs- und Patronatsnachweis</w:t>
            </w:r>
          </w:p>
        </w:tc>
        <w:tc>
          <w:tcPr>
            <w:tcW w:type="dxa" w:w="1251"/>
            <w:vAlign w:val="top"/>
            <w:tcMar>
              <w:top w:w="60" w:type="dxa"/>
              <w:start w:w="90" w:type="dxa"/>
              <w:bottom w:w="60" w:type="dxa"/>
              <w:end w:w="90" w:type="dxa"/>
            </w:tcMar>
            <w:shd w:fill="F1F3F3"/>
          </w:tcPr>
          <w:p>
            <w:pPr>
              <w:keepLines/>
              <w:spacing w:after="0"/>
            </w:pPr>
            <w:r/>
            <w:r>
              <w:rPr>
                <w:rFonts w:ascii="Times New Roman" w:hAnsi="Times New Roman"/>
                <w:sz w:val="17"/>
              </w:rPr>
              <w:t>gelb</w:t>
            </w:r>
          </w:p>
        </w:tc>
        <w:tc>
          <w:tcPr>
            <w:tcW w:type="dxa" w:w="2265"/>
            <w:vAlign w:val="top"/>
            <w:tcMar>
              <w:top w:w="60" w:type="dxa"/>
              <w:start w:w="90" w:type="dxa"/>
              <w:bottom w:w="60" w:type="dxa"/>
              <w:end w:w="90" w:type="dxa"/>
            </w:tcMar>
            <w:shd w:fill="F1F3F3"/>
          </w:tcPr>
          <w:p>
            <w:pPr>
              <w:keepLines/>
              <w:spacing w:after="0"/>
            </w:pPr>
            <w:r/>
            <w:r>
              <w:rPr>
                <w:rFonts w:ascii="Times New Roman" w:hAnsi="Times New Roman"/>
                <w:sz w:val="17"/>
              </w:rPr>
              <w:t>wirtschaftliche Leistungsfähigkeit funktional und belastbar belegen</w:t>
            </w:r>
          </w:p>
        </w:tc>
      </w:tr>
      <w:tr>
        <w:trPr>
          <w:cantSplit/>
        </w:trPr>
        <w:tc>
          <w:tcPr>
            <w:tcW w:type="dxa" w:w="1741"/>
            <w:vAlign w:val="top"/>
            <w:tcMar>
              <w:top w:w="60" w:type="dxa"/>
              <w:start w:w="90" w:type="dxa"/>
              <w:bottom w:w="60" w:type="dxa"/>
              <w:end w:w="90" w:type="dxa"/>
            </w:tcMar>
          </w:tcPr>
          <w:p>
            <w:pPr>
              <w:keepLines/>
              <w:spacing w:after="0"/>
            </w:pPr>
            <w:r/>
            <w:r>
              <w:rPr>
                <w:rFonts w:ascii="Times New Roman" w:hAnsi="Times New Roman"/>
                <w:sz w:val="17"/>
              </w:rPr>
              <w:t>Referenzen</w:t>
            </w:r>
          </w:p>
        </w:tc>
        <w:tc>
          <w:tcPr>
            <w:tcW w:type="dxa" w:w="1802"/>
            <w:vAlign w:val="top"/>
            <w:tcMar>
              <w:top w:w="60" w:type="dxa"/>
              <w:start w:w="90" w:type="dxa"/>
              <w:bottom w:w="60" w:type="dxa"/>
              <w:end w:w="90" w:type="dxa"/>
            </w:tcMar>
          </w:tcPr>
          <w:p>
            <w:pPr>
              <w:keepLines/>
              <w:spacing w:after="0"/>
            </w:pPr>
            <w:r/>
            <w:r>
              <w:rPr>
                <w:rFonts w:ascii="Times New Roman" w:hAnsi="Times New Roman"/>
                <w:sz w:val="17"/>
              </w:rPr>
              <w:t>zwei vergleichbare kommunale 24/7-Betriebe</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übergehender Betriebsteil und Schlüsselpersonal; eigene Referenz noch nicht vorhanden</w:t>
            </w:r>
          </w:p>
        </w:tc>
        <w:tc>
          <w:tcPr>
            <w:tcW w:type="dxa" w:w="1251"/>
            <w:vAlign w:val="top"/>
            <w:tcMar>
              <w:top w:w="60" w:type="dxa"/>
              <w:start w:w="90" w:type="dxa"/>
              <w:bottom w:w="60" w:type="dxa"/>
              <w:end w:w="90" w:type="dxa"/>
            </w:tcMar>
          </w:tcPr>
          <w:p>
            <w:pPr>
              <w:keepLines/>
              <w:spacing w:after="0"/>
            </w:pPr>
            <w:r/>
            <w:r>
              <w:rPr>
                <w:rFonts w:ascii="Times New Roman" w:hAnsi="Times New Roman"/>
                <w:sz w:val="17"/>
              </w:rPr>
              <w:t>gelb</w:t>
            </w:r>
          </w:p>
        </w:tc>
        <w:tc>
          <w:tcPr>
            <w:tcW w:type="dxa" w:w="2265"/>
            <w:vAlign w:val="top"/>
            <w:tcMar>
              <w:top w:w="60" w:type="dxa"/>
              <w:start w:w="90" w:type="dxa"/>
              <w:bottom w:w="60" w:type="dxa"/>
              <w:end w:w="90" w:type="dxa"/>
            </w:tcMar>
          </w:tcPr>
          <w:p>
            <w:pPr>
              <w:keepLines/>
              <w:spacing w:after="0"/>
            </w:pPr>
            <w:r/>
            <w:r>
              <w:rPr>
                <w:rFonts w:ascii="Times New Roman" w:hAnsi="Times New Roman"/>
                <w:sz w:val="17"/>
              </w:rPr>
              <w:t>zulässige Zurechnung und tatsächliche Ressourcenübernahme dokumentieren</w:t>
            </w:r>
          </w:p>
        </w:tc>
      </w:tr>
      <w:tr>
        <w:trPr>
          <w:cantSplit/>
        </w:trPr>
        <w:tc>
          <w:tcPr>
            <w:tcW w:type="dxa" w:w="1741"/>
            <w:vAlign w:val="top"/>
            <w:tcMar>
              <w:top w:w="60" w:type="dxa"/>
              <w:start w:w="90" w:type="dxa"/>
              <w:bottom w:w="60" w:type="dxa"/>
              <w:end w:w="90" w:type="dxa"/>
            </w:tcMar>
            <w:shd w:fill="F1F3F3"/>
          </w:tcPr>
          <w:p>
            <w:pPr>
              <w:keepLines/>
              <w:spacing w:after="0"/>
            </w:pPr>
            <w:r/>
            <w:r>
              <w:rPr>
                <w:rFonts w:ascii="Times New Roman" w:hAnsi="Times New Roman"/>
                <w:sz w:val="17"/>
              </w:rPr>
              <w:t>Informationssicherheit</w:t>
            </w:r>
          </w:p>
        </w:tc>
        <w:tc>
          <w:tcPr>
            <w:tcW w:type="dxa" w:w="1802"/>
            <w:vAlign w:val="top"/>
            <w:tcMar>
              <w:top w:w="60" w:type="dxa"/>
              <w:start w:w="90" w:type="dxa"/>
              <w:bottom w:w="60" w:type="dxa"/>
              <w:end w:w="90" w:type="dxa"/>
            </w:tcMar>
            <w:shd w:fill="F1F3F3"/>
          </w:tcPr>
          <w:p>
            <w:pPr>
              <w:keepLines/>
              <w:spacing w:after="0"/>
            </w:pPr>
            <w:r/>
            <w:r>
              <w:rPr>
                <w:rFonts w:ascii="Times New Roman" w:hAnsi="Times New Roman"/>
                <w:sz w:val="17"/>
              </w:rPr>
              <w:t>ISO 27001 oder gleichwertiges System</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Zertifikat der insolventen Gesellschaft nicht übertragbar</w:t>
            </w:r>
          </w:p>
        </w:tc>
        <w:tc>
          <w:tcPr>
            <w:tcW w:type="dxa" w:w="1251"/>
            <w:vAlign w:val="top"/>
            <w:tcMar>
              <w:top w:w="60" w:type="dxa"/>
              <w:start w:w="90" w:type="dxa"/>
              <w:bottom w:w="60" w:type="dxa"/>
              <w:end w:w="90" w:type="dxa"/>
            </w:tcMar>
            <w:shd w:fill="F1F3F3"/>
          </w:tcPr>
          <w:p>
            <w:pPr>
              <w:keepLines/>
              <w:spacing w:after="0"/>
            </w:pPr>
            <w:r/>
            <w:r>
              <w:rPr>
                <w:rFonts w:ascii="Times New Roman" w:hAnsi="Times New Roman"/>
                <w:sz w:val="17"/>
              </w:rPr>
              <w:t>rot</w:t>
            </w:r>
          </w:p>
        </w:tc>
        <w:tc>
          <w:tcPr>
            <w:tcW w:type="dxa" w:w="2265"/>
            <w:vAlign w:val="top"/>
            <w:tcMar>
              <w:top w:w="60" w:type="dxa"/>
              <w:start w:w="90" w:type="dxa"/>
              <w:bottom w:w="60" w:type="dxa"/>
              <w:end w:w="90" w:type="dxa"/>
            </w:tcMar>
            <w:shd w:fill="F1F3F3"/>
          </w:tcPr>
          <w:p>
            <w:pPr>
              <w:keepLines/>
              <w:spacing w:after="0"/>
            </w:pPr>
            <w:r/>
            <w:r>
              <w:rPr>
                <w:rFonts w:ascii="Times New Roman" w:hAnsi="Times New Roman"/>
                <w:sz w:val="17"/>
              </w:rPr>
              <w:t>eigenes Audit oder prüffähiger gleichwertiger Nachweis</w:t>
            </w:r>
          </w:p>
        </w:tc>
      </w:tr>
      <w:tr>
        <w:trPr>
          <w:cantSplit/>
        </w:trPr>
        <w:tc>
          <w:tcPr>
            <w:tcW w:type="dxa" w:w="1741"/>
            <w:vAlign w:val="top"/>
            <w:tcMar>
              <w:top w:w="60" w:type="dxa"/>
              <w:start w:w="90" w:type="dxa"/>
              <w:bottom w:w="60" w:type="dxa"/>
              <w:end w:w="90" w:type="dxa"/>
            </w:tcMar>
          </w:tcPr>
          <w:p>
            <w:pPr>
              <w:keepLines/>
              <w:spacing w:after="0"/>
            </w:pPr>
            <w:r/>
            <w:r>
              <w:rPr>
                <w:rFonts w:ascii="Times New Roman" w:hAnsi="Times New Roman"/>
                <w:sz w:val="17"/>
              </w:rPr>
              <w:t>Fachpersonal</w:t>
            </w:r>
          </w:p>
        </w:tc>
        <w:tc>
          <w:tcPr>
            <w:tcW w:type="dxa" w:w="1802"/>
            <w:vAlign w:val="top"/>
            <w:tcMar>
              <w:top w:w="60" w:type="dxa"/>
              <w:start w:w="90" w:type="dxa"/>
              <w:bottom w:w="60" w:type="dxa"/>
              <w:end w:w="90" w:type="dxa"/>
            </w:tcMar>
          </w:tcPr>
          <w:p>
            <w:pPr>
              <w:keepLines/>
              <w:spacing w:after="0"/>
            </w:pPr>
            <w:r/>
            <w:r>
              <w:rPr>
                <w:rFonts w:ascii="Times New Roman" w:hAnsi="Times New Roman"/>
                <w:sz w:val="17"/>
              </w:rPr>
              <w:t>mindestens acht benannte Fachkräfte</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sieben Übergänge plus Reserve</w:t>
            </w:r>
          </w:p>
        </w:tc>
        <w:tc>
          <w:tcPr>
            <w:tcW w:type="dxa" w:w="1251"/>
            <w:vAlign w:val="top"/>
            <w:tcMar>
              <w:top w:w="60" w:type="dxa"/>
              <w:start w:w="90" w:type="dxa"/>
              <w:bottom w:w="60" w:type="dxa"/>
              <w:end w:w="90" w:type="dxa"/>
            </w:tcMar>
          </w:tcPr>
          <w:p>
            <w:pPr>
              <w:keepLines/>
              <w:spacing w:after="0"/>
            </w:pPr>
            <w:r/>
            <w:r>
              <w:rPr>
                <w:rFonts w:ascii="Times New Roman" w:hAnsi="Times New Roman"/>
                <w:sz w:val="17"/>
              </w:rPr>
              <w:t>gelb</w:t>
            </w:r>
          </w:p>
        </w:tc>
        <w:tc>
          <w:tcPr>
            <w:tcW w:type="dxa" w:w="2265"/>
            <w:vAlign w:val="top"/>
            <w:tcMar>
              <w:top w:w="60" w:type="dxa"/>
              <w:start w:w="90" w:type="dxa"/>
              <w:bottom w:w="60" w:type="dxa"/>
              <w:end w:w="90" w:type="dxa"/>
            </w:tcMar>
          </w:tcPr>
          <w:p>
            <w:pPr>
              <w:keepLines/>
              <w:spacing w:after="0"/>
            </w:pPr>
            <w:r/>
            <w:r>
              <w:rPr>
                <w:rFonts w:ascii="Times New Roman" w:hAnsi="Times New Roman"/>
                <w:sz w:val="17"/>
              </w:rPr>
              <w:t>Qualifikation und Verfügbarkeit Reserve prüfen</w:t>
            </w:r>
          </w:p>
        </w:tc>
      </w:tr>
      <w:tr>
        <w:trPr>
          <w:cantSplit/>
        </w:trPr>
        <w:tc>
          <w:tcPr>
            <w:tcW w:type="dxa" w:w="1741"/>
            <w:vAlign w:val="top"/>
            <w:tcMar>
              <w:top w:w="60" w:type="dxa"/>
              <w:start w:w="90" w:type="dxa"/>
              <w:bottom w:w="60" w:type="dxa"/>
              <w:end w:w="90" w:type="dxa"/>
            </w:tcMar>
            <w:shd w:fill="F1F3F3"/>
          </w:tcPr>
          <w:p>
            <w:pPr>
              <w:keepLines/>
              <w:spacing w:after="0"/>
            </w:pPr>
            <w:r/>
            <w:r>
              <w:rPr>
                <w:rFonts w:ascii="Times New Roman" w:hAnsi="Times New Roman"/>
                <w:sz w:val="17"/>
              </w:rPr>
              <w:t>Ausschlussgründe</w:t>
            </w:r>
          </w:p>
        </w:tc>
        <w:tc>
          <w:tcPr>
            <w:tcW w:type="dxa" w:w="1802"/>
            <w:vAlign w:val="top"/>
            <w:tcMar>
              <w:top w:w="60" w:type="dxa"/>
              <w:start w:w="90" w:type="dxa"/>
              <w:bottom w:w="60" w:type="dxa"/>
              <w:end w:w="90" w:type="dxa"/>
            </w:tcMar>
            <w:shd w:fill="F1F3F3"/>
          </w:tcPr>
          <w:p>
            <w:pPr>
              <w:keepLines/>
              <w:spacing w:after="0"/>
            </w:pPr>
            <w:r/>
            <w:r>
              <w:rPr>
                <w:rFonts w:ascii="Times New Roman" w:hAnsi="Times New Roman"/>
                <w:sz w:val="17"/>
              </w:rPr>
              <w:t>Eigenerklärungen und Registerprüfung</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Eigenerklärung eingegangen</w:t>
            </w:r>
          </w:p>
        </w:tc>
        <w:tc>
          <w:tcPr>
            <w:tcW w:type="dxa" w:w="1251"/>
            <w:vAlign w:val="top"/>
            <w:tcMar>
              <w:top w:w="60" w:type="dxa"/>
              <w:start w:w="90" w:type="dxa"/>
              <w:bottom w:w="60" w:type="dxa"/>
              <w:end w:w="90" w:type="dxa"/>
            </w:tcMar>
            <w:shd w:fill="F1F3F3"/>
          </w:tcPr>
          <w:p>
            <w:pPr>
              <w:keepLines/>
              <w:spacing w:after="0"/>
            </w:pPr>
            <w:r/>
            <w:r>
              <w:rPr>
                <w:rFonts w:ascii="Times New Roman" w:hAnsi="Times New Roman"/>
                <w:sz w:val="17"/>
              </w:rPr>
              <w:t>gelb</w:t>
            </w:r>
          </w:p>
        </w:tc>
        <w:tc>
          <w:tcPr>
            <w:tcW w:type="dxa" w:w="2265"/>
            <w:vAlign w:val="top"/>
            <w:tcMar>
              <w:top w:w="60" w:type="dxa"/>
              <w:start w:w="90" w:type="dxa"/>
              <w:bottom w:w="60" w:type="dxa"/>
              <w:end w:w="90" w:type="dxa"/>
            </w:tcMar>
            <w:shd w:fill="F1F3F3"/>
          </w:tcPr>
          <w:p>
            <w:pPr>
              <w:keepLines/>
              <w:spacing w:after="0"/>
            </w:pPr>
            <w:r/>
            <w:r>
              <w:rPr>
                <w:rFonts w:ascii="Times New Roman" w:hAnsi="Times New Roman"/>
                <w:sz w:val="17"/>
              </w:rPr>
              <w:t>Wettbewerbsregisterabfrage und Steuerbescheinigung</w:t>
            </w:r>
          </w:p>
        </w:tc>
      </w:tr>
    </w:tbl>
    <w:p>
      <w:pPr>
        <w:spacing w:after="0" w:before="40"/>
      </w:pPr>
    </w:p>
    <w:p>
      <w:pPr>
        <w:pStyle w:val="Heading1"/>
        <w:keepNext/>
        <w:keepLines/>
      </w:pPr>
      <w:r>
        <w:t>Kontinuität des Betriebs</w:t>
      </w:r>
    </w:p>
    <w:tbl>
      <w:tblPr>
        <w:tblStyle w:val="TableGrid"/>
        <w:tblW w:type="dxa" w:w="9071"/>
        <w:jc w:val="left"/>
        <w:tblLayout w:type="fixed"/>
        <w:tblLook w:firstColumn="1" w:firstRow="1" w:lastColumn="0" w:lastRow="0" w:noHBand="0" w:noVBand="1" w:val="04A0"/>
      </w:tblPr>
      <w:tblGrid>
        <w:gridCol w:w="1897"/>
        <w:gridCol w:w="1706"/>
        <w:gridCol w:w="1950"/>
        <w:gridCol w:w="1880"/>
        <w:gridCol w:w="1638"/>
      </w:tblGrid>
      <w:tr>
        <w:trPr>
          <w:tblHeader w:val="true"/>
          <w:cantSplit/>
        </w:trPr>
        <w:tc>
          <w:tcPr>
            <w:tcW w:type="dxa" w:w="18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Leistungsbaustein</w:t>
            </w:r>
          </w:p>
        </w:tc>
        <w:tc>
          <w:tcPr>
            <w:tcW w:type="dxa" w:w="1706"/>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Übernommene Ressourcen</w:t>
            </w:r>
          </w:p>
        </w:tc>
        <w:tc>
          <w:tcPr>
            <w:tcW w:type="dxa" w:w="19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Änderung gegenüber Ursprungsvertrag</w:t>
            </w:r>
          </w:p>
        </w:tc>
        <w:tc>
          <w:tcPr>
            <w:tcW w:type="dxa" w:w="18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Risiko</w:t>
            </w:r>
          </w:p>
        </w:tc>
        <w:tc>
          <w:tcPr>
            <w:tcW w:type="dxa" w:w="16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1897"/>
            <w:vAlign w:val="top"/>
            <w:tcMar>
              <w:top w:w="60" w:type="dxa"/>
              <w:start w:w="90" w:type="dxa"/>
              <w:bottom w:w="60" w:type="dxa"/>
              <w:end w:w="90" w:type="dxa"/>
            </w:tcMar>
          </w:tcPr>
          <w:p>
            <w:pPr>
              <w:keepLines/>
              <w:spacing w:after="0"/>
            </w:pPr>
            <w:r/>
            <w:r>
              <w:rPr>
                <w:rFonts w:ascii="Times New Roman" w:hAnsi="Times New Roman"/>
                <w:sz w:val="17"/>
              </w:rPr>
              <w:t>Service Desk</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System, Historie, Kernteam</w:t>
            </w:r>
          </w:p>
        </w:tc>
        <w:tc>
          <w:tcPr>
            <w:tcW w:type="dxa" w:w="1950"/>
            <w:vAlign w:val="top"/>
            <w:tcMar>
              <w:top w:w="60" w:type="dxa"/>
              <w:start w:w="90" w:type="dxa"/>
              <w:bottom w:w="60" w:type="dxa"/>
              <w:end w:w="90" w:type="dxa"/>
            </w:tcMar>
          </w:tcPr>
          <w:p>
            <w:pPr>
              <w:keepLines/>
              <w:spacing w:after="0"/>
            </w:pPr>
            <w:r/>
            <w:r>
              <w:rPr>
                <w:rFonts w:ascii="Times New Roman" w:hAnsi="Times New Roman"/>
                <w:sz w:val="17"/>
              </w:rPr>
              <w:t>Rechtsträgerwechsel</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Datenschutzfreigabe</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grundsätzlich kontinuierlich</w:t>
            </w:r>
          </w:p>
        </w:tc>
      </w:tr>
      <w:tr>
        <w:trPr>
          <w:cantSplit/>
        </w:trPr>
        <w:tc>
          <w:tcPr>
            <w:tcW w:type="dxa" w:w="1897"/>
            <w:vAlign w:val="top"/>
            <w:tcMar>
              <w:top w:w="60" w:type="dxa"/>
              <w:start w:w="90" w:type="dxa"/>
              <w:bottom w:w="60" w:type="dxa"/>
              <w:end w:w="90" w:type="dxa"/>
            </w:tcMar>
            <w:shd w:fill="F1F3F3"/>
          </w:tcPr>
          <w:p>
            <w:pPr>
              <w:keepLines/>
              <w:spacing w:after="0"/>
            </w:pPr>
            <w:r/>
            <w:r>
              <w:rPr>
                <w:rFonts w:ascii="Times New Roman" w:hAnsi="Times New Roman"/>
                <w:sz w:val="17"/>
              </w:rPr>
              <w:t>Systembetrieb</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fünf von sechs Administratoren</w:t>
            </w:r>
          </w:p>
        </w:tc>
        <w:tc>
          <w:tcPr>
            <w:tcW w:type="dxa" w:w="1950"/>
            <w:vAlign w:val="top"/>
            <w:tcMar>
              <w:top w:w="60" w:type="dxa"/>
              <w:start w:w="90" w:type="dxa"/>
              <w:bottom w:w="60" w:type="dxa"/>
              <w:end w:w="90" w:type="dxa"/>
            </w:tcMar>
            <w:shd w:fill="F1F3F3"/>
          </w:tcPr>
          <w:p>
            <w:pPr>
              <w:keepLines/>
              <w:spacing w:after="0"/>
            </w:pPr>
            <w:r/>
            <w:r>
              <w:rPr>
                <w:rFonts w:ascii="Times New Roman" w:hAnsi="Times New Roman"/>
                <w:sz w:val="17"/>
              </w:rPr>
              <w:t>Reservekraft neu</w:t>
            </w:r>
          </w:p>
        </w:tc>
        <w:tc>
          <w:tcPr>
            <w:tcW w:type="dxa" w:w="1880"/>
            <w:vAlign w:val="top"/>
            <w:tcMar>
              <w:top w:w="60" w:type="dxa"/>
              <w:start w:w="90" w:type="dxa"/>
              <w:bottom w:w="60" w:type="dxa"/>
              <w:end w:w="90" w:type="dxa"/>
            </w:tcMar>
            <w:shd w:fill="F1F3F3"/>
          </w:tcPr>
          <w:p>
            <w:pPr>
              <w:keepLines/>
              <w:spacing w:after="0"/>
            </w:pPr>
            <w:r/>
            <w:r>
              <w:rPr>
                <w:rFonts w:ascii="Times New Roman" w:hAnsi="Times New Roman"/>
                <w:sz w:val="17"/>
              </w:rPr>
              <w:t>Einarbeitung</w:t>
            </w:r>
          </w:p>
        </w:tc>
        <w:tc>
          <w:tcPr>
            <w:tcW w:type="dxa" w:w="1638"/>
            <w:vAlign w:val="top"/>
            <w:tcMar>
              <w:top w:w="60" w:type="dxa"/>
              <w:start w:w="90" w:type="dxa"/>
              <w:bottom w:w="60" w:type="dxa"/>
              <w:end w:w="90" w:type="dxa"/>
            </w:tcMar>
            <w:shd w:fill="F1F3F3"/>
          </w:tcPr>
          <w:p>
            <w:pPr>
              <w:keepLines/>
              <w:spacing w:after="0"/>
            </w:pPr>
            <w:r/>
            <w:r>
              <w:rPr>
                <w:rFonts w:ascii="Times New Roman" w:hAnsi="Times New Roman"/>
                <w:sz w:val="17"/>
              </w:rPr>
              <w:t>nur mit Übergabeplan</w:t>
            </w:r>
          </w:p>
        </w:tc>
      </w:tr>
      <w:tr>
        <w:trPr>
          <w:cantSplit/>
        </w:trPr>
        <w:tc>
          <w:tcPr>
            <w:tcW w:type="dxa" w:w="1897"/>
            <w:vAlign w:val="top"/>
            <w:tcMar>
              <w:top w:w="60" w:type="dxa"/>
              <w:start w:w="90" w:type="dxa"/>
              <w:bottom w:w="60" w:type="dxa"/>
              <w:end w:w="90" w:type="dxa"/>
            </w:tcMar>
          </w:tcPr>
          <w:p>
            <w:pPr>
              <w:keepLines/>
              <w:spacing w:after="0"/>
            </w:pPr>
            <w:r/>
            <w:r>
              <w:rPr>
                <w:rFonts w:ascii="Times New Roman" w:hAnsi="Times New Roman"/>
                <w:sz w:val="17"/>
              </w:rPr>
              <w:t>Rufbereitschaft</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sieben Beschäftigte</w:t>
            </w:r>
          </w:p>
        </w:tc>
        <w:tc>
          <w:tcPr>
            <w:tcW w:type="dxa" w:w="1950"/>
            <w:vAlign w:val="top"/>
            <w:tcMar>
              <w:top w:w="60" w:type="dxa"/>
              <w:start w:w="90" w:type="dxa"/>
              <w:bottom w:w="60" w:type="dxa"/>
              <w:end w:w="90" w:type="dxa"/>
            </w:tcMar>
          </w:tcPr>
          <w:p>
            <w:pPr>
              <w:keepLines/>
              <w:spacing w:after="0"/>
            </w:pPr>
            <w:r/>
            <w:r>
              <w:rPr>
                <w:rFonts w:ascii="Times New Roman" w:hAnsi="Times New Roman"/>
                <w:sz w:val="17"/>
              </w:rPr>
              <w:t>Pool um eine Person kleiner</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Dienstplanstabilität</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Nachweis offen</w:t>
            </w:r>
          </w:p>
        </w:tc>
      </w:tr>
      <w:tr>
        <w:trPr>
          <w:cantSplit/>
        </w:trPr>
        <w:tc>
          <w:tcPr>
            <w:tcW w:type="dxa" w:w="1897"/>
            <w:vAlign w:val="top"/>
            <w:tcMar>
              <w:top w:w="60" w:type="dxa"/>
              <w:start w:w="90" w:type="dxa"/>
              <w:bottom w:w="60" w:type="dxa"/>
              <w:end w:w="90" w:type="dxa"/>
            </w:tcMar>
            <w:shd w:fill="F1F3F3"/>
          </w:tcPr>
          <w:p>
            <w:pPr>
              <w:keepLines/>
              <w:spacing w:after="0"/>
            </w:pPr>
            <w:r/>
            <w:r>
              <w:rPr>
                <w:rFonts w:ascii="Times New Roman" w:hAnsi="Times New Roman"/>
                <w:sz w:val="17"/>
              </w:rPr>
              <w:t>Informationssicherheit</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Prozesse übernommen</w:t>
            </w:r>
          </w:p>
        </w:tc>
        <w:tc>
          <w:tcPr>
            <w:tcW w:type="dxa" w:w="1950"/>
            <w:vAlign w:val="top"/>
            <w:tcMar>
              <w:top w:w="60" w:type="dxa"/>
              <w:start w:w="90" w:type="dxa"/>
              <w:bottom w:w="60" w:type="dxa"/>
              <w:end w:w="90" w:type="dxa"/>
            </w:tcMar>
            <w:shd w:fill="F1F3F3"/>
          </w:tcPr>
          <w:p>
            <w:pPr>
              <w:keepLines/>
              <w:spacing w:after="0"/>
            </w:pPr>
            <w:r/>
            <w:r>
              <w:rPr>
                <w:rFonts w:ascii="Times New Roman" w:hAnsi="Times New Roman"/>
                <w:sz w:val="17"/>
              </w:rPr>
              <w:t>Zertifikat und Beauftragter wechseln</w:t>
            </w:r>
          </w:p>
        </w:tc>
        <w:tc>
          <w:tcPr>
            <w:tcW w:type="dxa" w:w="1880"/>
            <w:vAlign w:val="top"/>
            <w:tcMar>
              <w:top w:w="60" w:type="dxa"/>
              <w:start w:w="90" w:type="dxa"/>
              <w:bottom w:w="60" w:type="dxa"/>
              <w:end w:w="90" w:type="dxa"/>
            </w:tcMar>
            <w:shd w:fill="F1F3F3"/>
          </w:tcPr>
          <w:p>
            <w:pPr>
              <w:keepLines/>
              <w:spacing w:after="0"/>
            </w:pPr>
            <w:r/>
            <w:r>
              <w:rPr>
                <w:rFonts w:ascii="Times New Roman" w:hAnsi="Times New Roman"/>
                <w:sz w:val="17"/>
              </w:rPr>
              <w:t>wesentliches Eignungsrisiko</w:t>
            </w:r>
          </w:p>
        </w:tc>
        <w:tc>
          <w:tcPr>
            <w:tcW w:type="dxa" w:w="1638"/>
            <w:vAlign w:val="top"/>
            <w:tcMar>
              <w:top w:w="60" w:type="dxa"/>
              <w:start w:w="90" w:type="dxa"/>
              <w:bottom w:w="60" w:type="dxa"/>
              <w:end w:w="90" w:type="dxa"/>
            </w:tcMar>
            <w:shd w:fill="F1F3F3"/>
          </w:tcPr>
          <w:p>
            <w:pPr>
              <w:keepLines/>
              <w:spacing w:after="0"/>
            </w:pPr>
            <w:r/>
            <w:r>
              <w:rPr>
                <w:rFonts w:ascii="Times New Roman" w:hAnsi="Times New Roman"/>
                <w:sz w:val="17"/>
              </w:rPr>
              <w:t>derzeit keine Freigabe</w:t>
            </w:r>
          </w:p>
        </w:tc>
      </w:tr>
      <w:tr>
        <w:trPr>
          <w:cantSplit/>
        </w:trPr>
        <w:tc>
          <w:tcPr>
            <w:tcW w:type="dxa" w:w="1897"/>
            <w:vAlign w:val="top"/>
            <w:tcMar>
              <w:top w:w="60" w:type="dxa"/>
              <w:start w:w="90" w:type="dxa"/>
              <w:bottom w:w="60" w:type="dxa"/>
              <w:end w:w="90" w:type="dxa"/>
            </w:tcMar>
          </w:tcPr>
          <w:p>
            <w:pPr>
              <w:keepLines/>
              <w:spacing w:after="0"/>
            </w:pPr>
            <w:r/>
            <w:r>
              <w:rPr>
                <w:rFonts w:ascii="Times New Roman" w:hAnsi="Times New Roman"/>
                <w:sz w:val="17"/>
              </w:rPr>
              <w:t>Vergütung</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unverändert angeboten</w:t>
            </w:r>
          </w:p>
        </w:tc>
        <w:tc>
          <w:tcPr>
            <w:tcW w:type="dxa" w:w="1950"/>
            <w:vAlign w:val="top"/>
            <w:tcMar>
              <w:top w:w="60" w:type="dxa"/>
              <w:start w:w="90" w:type="dxa"/>
              <w:bottom w:w="60" w:type="dxa"/>
              <w:end w:w="90" w:type="dxa"/>
            </w:tcMar>
          </w:tcPr>
          <w:p>
            <w:pPr>
              <w:keepLines/>
              <w:spacing w:after="0"/>
            </w:pPr>
            <w:r/>
            <w:r>
              <w:rPr>
                <w:rFonts w:ascii="Times New Roman" w:hAnsi="Times New Roman"/>
                <w:sz w:val="17"/>
              </w:rPr>
              <w:t>keine</w:t>
            </w:r>
          </w:p>
        </w:tc>
        <w:tc>
          <w:tcPr>
            <w:tcW w:type="dxa" w:w="1880"/>
            <w:vAlign w:val="top"/>
            <w:tcMar>
              <w:top w:w="60" w:type="dxa"/>
              <w:start w:w="90" w:type="dxa"/>
              <w:bottom w:w="60" w:type="dxa"/>
              <w:end w:w="90" w:type="dxa"/>
            </w:tcMar>
          </w:tcPr>
          <w:p>
            <w:pPr>
              <w:keepLines/>
              <w:spacing w:after="0"/>
            </w:pPr>
            <w:r/>
            <w:r>
              <w:rPr>
                <w:rFonts w:ascii="Times New Roman" w:hAnsi="Times New Roman"/>
                <w:sz w:val="17"/>
              </w:rPr>
              <w:t>keine</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unkritisch</w:t>
            </w:r>
          </w:p>
        </w:tc>
      </w:tr>
      <w:tr>
        <w:trPr>
          <w:cantSplit/>
        </w:trPr>
        <w:tc>
          <w:tcPr>
            <w:tcW w:type="dxa" w:w="1897"/>
            <w:vAlign w:val="top"/>
            <w:tcMar>
              <w:top w:w="60" w:type="dxa"/>
              <w:start w:w="90" w:type="dxa"/>
              <w:bottom w:w="60" w:type="dxa"/>
              <w:end w:w="90" w:type="dxa"/>
            </w:tcMar>
            <w:shd w:fill="F1F3F3"/>
          </w:tcPr>
          <w:p>
            <w:pPr>
              <w:keepLines/>
              <w:spacing w:after="0"/>
            </w:pPr>
            <w:r/>
            <w:r>
              <w:rPr>
                <w:rFonts w:ascii="Times New Roman" w:hAnsi="Times New Roman"/>
                <w:sz w:val="17"/>
              </w:rPr>
              <w:t>Laufzeit und Umfang</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unverändert angeboten</w:t>
            </w:r>
          </w:p>
        </w:tc>
        <w:tc>
          <w:tcPr>
            <w:tcW w:type="dxa" w:w="1950"/>
            <w:vAlign w:val="top"/>
            <w:tcMar>
              <w:top w:w="60" w:type="dxa"/>
              <w:start w:w="90" w:type="dxa"/>
              <w:bottom w:w="60" w:type="dxa"/>
              <w:end w:w="90" w:type="dxa"/>
            </w:tcMar>
            <w:shd w:fill="F1F3F3"/>
          </w:tcPr>
          <w:p>
            <w:pPr>
              <w:keepLines/>
              <w:spacing w:after="0"/>
            </w:pPr>
            <w:r/>
            <w:r>
              <w:rPr>
                <w:rFonts w:ascii="Times New Roman" w:hAnsi="Times New Roman"/>
                <w:sz w:val="17"/>
              </w:rPr>
              <w:t>keine</w:t>
            </w:r>
          </w:p>
        </w:tc>
        <w:tc>
          <w:tcPr>
            <w:tcW w:type="dxa" w:w="1880"/>
            <w:vAlign w:val="top"/>
            <w:tcMar>
              <w:top w:w="60" w:type="dxa"/>
              <w:start w:w="90" w:type="dxa"/>
              <w:bottom w:w="60" w:type="dxa"/>
              <w:end w:w="90" w:type="dxa"/>
            </w:tcMar>
            <w:shd w:fill="F1F3F3"/>
          </w:tcPr>
          <w:p>
            <w:pPr>
              <w:keepLines/>
              <w:spacing w:after="0"/>
            </w:pPr>
            <w:r/>
            <w:r>
              <w:rPr>
                <w:rFonts w:ascii="Times New Roman" w:hAnsi="Times New Roman"/>
                <w:sz w:val="17"/>
              </w:rPr>
              <w:t>keine</w:t>
            </w:r>
          </w:p>
        </w:tc>
        <w:tc>
          <w:tcPr>
            <w:tcW w:type="dxa" w:w="1638"/>
            <w:vAlign w:val="top"/>
            <w:tcMar>
              <w:top w:w="60" w:type="dxa"/>
              <w:start w:w="90" w:type="dxa"/>
              <w:bottom w:w="60" w:type="dxa"/>
              <w:end w:w="90" w:type="dxa"/>
            </w:tcMar>
            <w:shd w:fill="F1F3F3"/>
          </w:tcPr>
          <w:p>
            <w:pPr>
              <w:keepLines/>
              <w:spacing w:after="0"/>
            </w:pPr>
            <w:r/>
            <w:r>
              <w:rPr>
                <w:rFonts w:ascii="Times New Roman" w:hAnsi="Times New Roman"/>
                <w:sz w:val="17"/>
              </w:rPr>
              <w:t>unkritisch</w:t>
            </w:r>
          </w:p>
        </w:tc>
      </w:tr>
    </w:tbl>
    <w:p>
      <w:pPr>
        <w:spacing w:after="0" w:before="40"/>
      </w:pPr>
    </w:p>
    <w:p>
      <w:pPr>
        <w:pStyle w:val="Heading1"/>
        <w:keepNext/>
        <w:keepLines/>
      </w:pPr>
      <w:r>
        <w:t>Prüfung weiterer wesentlicher Änderungen</w:t>
      </w:r>
    </w:p>
    <w:tbl>
      <w:tblPr>
        <w:tblStyle w:val="TableGrid"/>
        <w:tblW w:type="dxa" w:w="9070"/>
        <w:jc w:val="left"/>
        <w:tblLayout w:type="fixed"/>
        <w:tblLook w:firstColumn="1" w:firstRow="1" w:lastColumn="0" w:lastRow="0" w:noHBand="0" w:noVBand="1" w:val="04A0"/>
      </w:tblPr>
      <w:tblGrid>
        <w:gridCol w:w="4009"/>
        <w:gridCol w:w="3251"/>
        <w:gridCol w:w="1810"/>
      </w:tblGrid>
      <w:tr>
        <w:trPr>
          <w:tblHeader w:val="true"/>
          <w:cantSplit/>
        </w:trPr>
        <w:tc>
          <w:tcPr>
            <w:tcW w:type="dxa" w:w="4009"/>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Kontrollfrage nach § 132 Abs. 1 GWB</w:t>
            </w:r>
          </w:p>
        </w:tc>
        <w:tc>
          <w:tcPr>
            <w:tcW w:type="dxa" w:w="3251"/>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Feststellung</w:t>
            </w:r>
          </w:p>
        </w:tc>
        <w:tc>
          <w:tcPr>
            <w:tcW w:type="dxa" w:w="181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w:t>
            </w:r>
          </w:p>
        </w:tc>
      </w:tr>
      <w:tr>
        <w:trPr>
          <w:cantSplit/>
        </w:trPr>
        <w:tc>
          <w:tcPr>
            <w:tcW w:type="dxa" w:w="4009"/>
            <w:vAlign w:val="top"/>
            <w:tcMar>
              <w:top w:w="60" w:type="dxa"/>
              <w:start w:w="90" w:type="dxa"/>
              <w:bottom w:w="60" w:type="dxa"/>
              <w:end w:w="90" w:type="dxa"/>
            </w:tcMar>
          </w:tcPr>
          <w:p>
            <w:pPr>
              <w:keepLines/>
              <w:spacing w:after="0"/>
            </w:pPr>
            <w:r/>
            <w:r>
              <w:rPr>
                <w:rFonts w:ascii="Times New Roman" w:hAnsi="Times New Roman"/>
                <w:sz w:val="17"/>
              </w:rPr>
              <w:t>Hätten geänderte Bedingungen andere Unternehmen zugelassen oder ein anderes Angebot ermöglicht?</w:t>
            </w:r>
          </w:p>
        </w:tc>
        <w:tc>
          <w:tcPr>
            <w:tcW w:type="dxa" w:w="3251"/>
            <w:vAlign w:val="top"/>
            <w:tcMar>
              <w:top w:w="60" w:type="dxa"/>
              <w:start w:w="90" w:type="dxa"/>
              <w:bottom w:w="60" w:type="dxa"/>
              <w:end w:w="90" w:type="dxa"/>
            </w:tcMar>
          </w:tcPr>
          <w:p>
            <w:pPr>
              <w:keepLines/>
              <w:spacing w:after="0"/>
            </w:pPr>
            <w:r/>
            <w:r>
              <w:rPr>
                <w:rFonts w:ascii="Times New Roman" w:hAnsi="Times New Roman"/>
                <w:sz w:val="17"/>
              </w:rPr>
              <w:t>keine Änderung vorgesehen</w:t>
            </w:r>
          </w:p>
        </w:tc>
        <w:tc>
          <w:tcPr>
            <w:tcW w:type="dxa" w:w="1810"/>
            <w:vAlign w:val="top"/>
            <w:tcMar>
              <w:top w:w="60" w:type="dxa"/>
              <w:start w:w="90" w:type="dxa"/>
              <w:bottom w:w="60" w:type="dxa"/>
              <w:end w:w="90" w:type="dxa"/>
            </w:tcMar>
          </w:tcPr>
          <w:p>
            <w:pPr>
              <w:keepLines/>
              <w:spacing w:after="0"/>
            </w:pPr>
            <w:r/>
            <w:r>
              <w:rPr>
                <w:rFonts w:ascii="Times New Roman" w:hAnsi="Times New Roman"/>
                <w:sz w:val="17"/>
              </w:rPr>
              <w:t>derzeit nein</w:t>
            </w:r>
          </w:p>
        </w:tc>
      </w:tr>
      <w:tr>
        <w:trPr>
          <w:cantSplit/>
        </w:trPr>
        <w:tc>
          <w:tcPr>
            <w:tcW w:type="dxa" w:w="4009"/>
            <w:vAlign w:val="top"/>
            <w:tcMar>
              <w:top w:w="60" w:type="dxa"/>
              <w:start w:w="90" w:type="dxa"/>
              <w:bottom w:w="60" w:type="dxa"/>
              <w:end w:w="90" w:type="dxa"/>
            </w:tcMar>
            <w:shd w:fill="F1F3F3"/>
          </w:tcPr>
          <w:p>
            <w:pPr>
              <w:keepLines/>
              <w:spacing w:after="0"/>
            </w:pPr>
            <w:r/>
            <w:r>
              <w:rPr>
                <w:rFonts w:ascii="Times New Roman" w:hAnsi="Times New Roman"/>
                <w:sz w:val="17"/>
              </w:rPr>
              <w:t>Verschiebt sich das wirtschaftliche Gleichgewicht zugunsten der Erwerberin?</w:t>
            </w:r>
          </w:p>
        </w:tc>
        <w:tc>
          <w:tcPr>
            <w:tcW w:type="dxa" w:w="3251"/>
            <w:vAlign w:val="top"/>
            <w:tcMar>
              <w:top w:w="60" w:type="dxa"/>
              <w:start w:w="90" w:type="dxa"/>
              <w:bottom w:w="60" w:type="dxa"/>
              <w:end w:w="90" w:type="dxa"/>
            </w:tcMar>
            <w:shd w:fill="F1F3F3"/>
          </w:tcPr>
          <w:p>
            <w:pPr>
              <w:keepLines/>
              <w:spacing w:after="0"/>
            </w:pPr>
            <w:r/>
            <w:r>
              <w:rPr>
                <w:rFonts w:ascii="Times New Roman" w:hAnsi="Times New Roman"/>
                <w:sz w:val="17"/>
              </w:rPr>
              <w:t>Preise, Haftung und Vertragsstrafen bleiben gleich</w:t>
            </w:r>
          </w:p>
        </w:tc>
        <w:tc>
          <w:tcPr>
            <w:tcW w:type="dxa" w:w="1810"/>
            <w:vAlign w:val="top"/>
            <w:tcMar>
              <w:top w:w="60" w:type="dxa"/>
              <w:start w:w="90" w:type="dxa"/>
              <w:bottom w:w="60" w:type="dxa"/>
              <w:end w:w="90" w:type="dxa"/>
            </w:tcMar>
            <w:shd w:fill="F1F3F3"/>
          </w:tcPr>
          <w:p>
            <w:pPr>
              <w:keepLines/>
              <w:spacing w:after="0"/>
            </w:pPr>
            <w:r/>
            <w:r>
              <w:rPr>
                <w:rFonts w:ascii="Times New Roman" w:hAnsi="Times New Roman"/>
                <w:sz w:val="17"/>
              </w:rPr>
              <w:t>derzeit nein</w:t>
            </w:r>
          </w:p>
        </w:tc>
      </w:tr>
      <w:tr>
        <w:trPr>
          <w:cantSplit/>
        </w:trPr>
        <w:tc>
          <w:tcPr>
            <w:tcW w:type="dxa" w:w="4009"/>
            <w:vAlign w:val="top"/>
            <w:tcMar>
              <w:top w:w="60" w:type="dxa"/>
              <w:start w:w="90" w:type="dxa"/>
              <w:bottom w:w="60" w:type="dxa"/>
              <w:end w:w="90" w:type="dxa"/>
            </w:tcMar>
          </w:tcPr>
          <w:p>
            <w:pPr>
              <w:keepLines/>
              <w:spacing w:after="0"/>
            </w:pPr>
            <w:r/>
            <w:r>
              <w:rPr>
                <w:rFonts w:ascii="Times New Roman" w:hAnsi="Times New Roman"/>
                <w:sz w:val="17"/>
              </w:rPr>
              <w:t>Wird der Umfang erheblich ausgeweitet?</w:t>
            </w:r>
          </w:p>
        </w:tc>
        <w:tc>
          <w:tcPr>
            <w:tcW w:type="dxa" w:w="3251"/>
            <w:vAlign w:val="top"/>
            <w:tcMar>
              <w:top w:w="60" w:type="dxa"/>
              <w:start w:w="90" w:type="dxa"/>
              <w:bottom w:w="60" w:type="dxa"/>
              <w:end w:w="90" w:type="dxa"/>
            </w:tcMar>
          </w:tcPr>
          <w:p>
            <w:pPr>
              <w:keepLines/>
              <w:spacing w:after="0"/>
            </w:pPr>
            <w:r/>
            <w:r>
              <w:rPr>
                <w:rFonts w:ascii="Times New Roman" w:hAnsi="Times New Roman"/>
                <w:sz w:val="17"/>
              </w:rPr>
              <w:t>keine zusätzlichen Fachverfahren</w:t>
            </w:r>
          </w:p>
        </w:tc>
        <w:tc>
          <w:tcPr>
            <w:tcW w:type="dxa" w:w="1810"/>
            <w:vAlign w:val="top"/>
            <w:tcMar>
              <w:top w:w="60" w:type="dxa"/>
              <w:start w:w="90" w:type="dxa"/>
              <w:bottom w:w="60" w:type="dxa"/>
              <w:end w:w="90" w:type="dxa"/>
            </w:tcMar>
          </w:tcPr>
          <w:p>
            <w:pPr>
              <w:keepLines/>
              <w:spacing w:after="0"/>
            </w:pPr>
            <w:r/>
            <w:r>
              <w:rPr>
                <w:rFonts w:ascii="Times New Roman" w:hAnsi="Times New Roman"/>
                <w:sz w:val="17"/>
              </w:rPr>
              <w:t>nein</w:t>
            </w:r>
          </w:p>
        </w:tc>
      </w:tr>
      <w:tr>
        <w:trPr>
          <w:cantSplit/>
        </w:trPr>
        <w:tc>
          <w:tcPr>
            <w:tcW w:type="dxa" w:w="4009"/>
            <w:vAlign w:val="top"/>
            <w:tcMar>
              <w:top w:w="60" w:type="dxa"/>
              <w:start w:w="90" w:type="dxa"/>
              <w:bottom w:w="60" w:type="dxa"/>
              <w:end w:w="90" w:type="dxa"/>
            </w:tcMar>
            <w:shd w:fill="F1F3F3"/>
          </w:tcPr>
          <w:p>
            <w:pPr>
              <w:keepLines/>
              <w:spacing w:after="0"/>
            </w:pPr>
            <w:r/>
            <w:r>
              <w:rPr>
                <w:rFonts w:ascii="Times New Roman" w:hAnsi="Times New Roman"/>
                <w:sz w:val="17"/>
              </w:rPr>
              <w:t>Liegt der Auftragnehmerwechsel außerhalb des § 132 Abs. 2 Satz 1 Nr. 4?</w:t>
            </w:r>
          </w:p>
        </w:tc>
        <w:tc>
          <w:tcPr>
            <w:tcW w:type="dxa" w:w="3251"/>
            <w:vAlign w:val="top"/>
            <w:tcMar>
              <w:top w:w="60" w:type="dxa"/>
              <w:start w:w="90" w:type="dxa"/>
              <w:bottom w:w="60" w:type="dxa"/>
              <w:end w:w="90" w:type="dxa"/>
            </w:tcMar>
            <w:shd w:fill="F1F3F3"/>
          </w:tcPr>
          <w:p>
            <w:pPr>
              <w:keepLines/>
              <w:spacing w:after="0"/>
            </w:pPr>
            <w:r/>
            <w:r>
              <w:rPr>
                <w:rFonts w:ascii="Times New Roman" w:hAnsi="Times New Roman"/>
                <w:sz w:val="17"/>
              </w:rPr>
              <w:t>funktionale Ressourcenübernahme noch nicht vollständig belegt</w:t>
            </w:r>
          </w:p>
        </w:tc>
        <w:tc>
          <w:tcPr>
            <w:tcW w:type="dxa" w:w="1810"/>
            <w:vAlign w:val="top"/>
            <w:tcMar>
              <w:top w:w="60" w:type="dxa"/>
              <w:start w:w="90" w:type="dxa"/>
              <w:bottom w:w="60" w:type="dxa"/>
              <w:end w:w="90" w:type="dxa"/>
            </w:tcMar>
            <w:shd w:fill="F1F3F3"/>
          </w:tcPr>
          <w:p>
            <w:pPr>
              <w:keepLines/>
              <w:spacing w:after="0"/>
            </w:pPr>
            <w:r/>
            <w:r>
              <w:rPr>
                <w:rFonts w:ascii="Times New Roman" w:hAnsi="Times New Roman"/>
                <w:sz w:val="17"/>
              </w:rPr>
              <w:t>offen</w:t>
            </w:r>
          </w:p>
        </w:tc>
      </w:tr>
    </w:tbl>
    <w:p>
      <w:pPr>
        <w:spacing w:after="0" w:before="40"/>
      </w:pPr>
    </w:p>
    <w:p>
      <w:pPr>
        <w:pStyle w:val="Heading1"/>
        <w:keepNext/>
        <w:keepLines/>
      </w:pPr>
      <w:r>
        <w:t>Zwischenentscheidung</w:t>
      </w:r>
    </w:p>
    <w:p>
      <w:pPr>
        <w:keepLines/>
      </w:pPr>
      <w:r>
        <w:t>Die Zustimmung wird bis zur Klärung der rot und gelb markierten Punkte zurückgestellt. Der Fachbereich darf keine faktische dauerhafte Leistungserbringung durch die Erwerberin zulassen. Unaufschiebbare Sicherungsmaßnahmen werden getrennt als Interimsbedarf dokumentiert und dürfen die Prüfung des Auftragnehmerwechsels nicht vorwegnehmen.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Zentrale Vergabestelle</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Prüfung der NordSys Betriebserwerber GmbH nach § 132 Abs. 2 Satz 1 Nr. 4 Buchstabe b GWB</dc:title>
  <dc:subject>Eignungs- und Kontinuitätsmatrix | Az. HB-IT-SERVICE-2026</dc:subject>
  <dc:creator>Stadt Hafenburg - Zentrale Vergabestelle</dc:creator>
  <cp:keywords>Vergaberecht, HB-IT-SERVICE-2026, Eignungs- und Kontinuitätsmatrix</cp:keywords>
  <dc:description>generated by python-docx</dc:description>
  <cp:lastModifiedBy>Stadt Hafenburg - Zentrale Vergabestelle</cp:lastModifiedBy>
  <cp:revision>1</cp:revision>
  <dcterms:created xsi:type="dcterms:W3CDTF">2000-01-01T00:00:00Z</dcterms:created>
  <dcterms:modified xsi:type="dcterms:W3CDTF">2000-01-01T00:00:00Z</dcterms:modified>
  <cp:category>Vergabeakte</cp:category>
</cp:coreProperties>
</file>