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Zentrale Vergabestelle</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18.11.2026</w:t>
              <w:br/>
            </w:r>
            <w:r>
              <w:rPr>
                <w:rFonts w:ascii="Times New Roman" w:hAnsi="Times New Roman"/>
                <w:color w:val="646464"/>
                <w:sz w:val="18"/>
              </w:rPr>
              <w:t>Aktenzeichen: HB-IT-SERVICE-2026</w:t>
              <w:br/>
            </w:r>
            <w:r>
              <w:rPr>
                <w:rFonts w:ascii="Times New Roman" w:hAnsi="Times New Roman"/>
                <w:color w:val="646464"/>
                <w:sz w:val="18"/>
              </w:rPr>
              <w:t>Entscheidungsvorlage und Bekanntmachungsvermerk</w:t>
            </w:r>
          </w:p>
        </w:tc>
      </w:tr>
    </w:tbl>
    <w:p>
      <w:pPr>
        <w:spacing w:before="200" w:after="40"/>
      </w:pPr>
      <w:r>
        <w:rPr>
          <w:rFonts w:ascii="Times New Roman" w:hAnsi="Times New Roman"/>
          <w:color w:val="646464"/>
          <w:sz w:val="15"/>
        </w:rPr>
        <w:t>Stadt Hafenburg - Zentrale Vergabestelle · Hafenallee 12, 21079 Hafenburg</w:t>
      </w:r>
    </w:p>
    <w:p>
      <w:pPr>
        <w:spacing w:after="240"/>
      </w:pPr>
      <w:r>
        <w:t>Oberbürgermeisterin, Rechnungsprüfungsamt und Fachamt</w:t>
      </w:r>
    </w:p>
    <w:p>
      <w:pPr>
        <w:pStyle w:val="Title"/>
      </w:pPr>
      <w:r>
        <w:t>Entscheidungsvorlage zum Auftragnehmerwechsel auf NordSys Betriebserwerber GmbH</w:t>
      </w:r>
    </w:p>
    <w:p>
      <w:pPr>
        <w:pStyle w:val="Heading1"/>
      </w:pPr>
      <w:r>
        <w:t>Entscheidung</w:t>
      </w:r>
    </w:p>
    <w:p>
      <w:r>
        <w:t>Die Stadt beabsichtigt, dem Eintritt der NordSys Betriebserwerber GmbH in den bestehenden Vertrag nach Abschluss des anhängigen Nachprüfungsverfahrens zuzustimmen. Bis zur Entscheidung der Vergabekammer oder einer anderweitigen Verfahrensbeendigung wird die Eintrittsvereinbarung nicht unterzeichnet und der Auftragnehmerwechsel nicht vollzogen.</w:t>
      </w:r>
    </w:p>
    <w:p>
      <w:r>
        <w:t>Die spätere Zustimmung setzt zusätzlich den Eingang der endgültigen Versicherungsbestätigung und die im Vier-Augen-Prinzip protokollierte Neuausstellung sämtlicher privilegierter Zugänge voraus. Der Nachweis des Informationssicherheitsmanagements wurde am 12.11.2026 durch Auditbericht IS-441/26 als dem ursprünglichen Mindestniveau gleichwertig bestätigt.</w:t>
      </w:r>
    </w:p>
    <w:p>
      <w:pPr>
        <w:pStyle w:val="Heading1"/>
      </w:pPr>
      <w:r>
        <w:t>Tatbestandsprüfung nach § 132 GWB</w:t>
      </w:r>
    </w:p>
    <w:tbl>
      <w:tblPr>
        <w:tblStyle w:val="TableGrid"/>
        <w:tblW w:type="dxa" w:w="9071"/>
        <w:jc w:val="left"/>
        <w:tblLayout w:type="fixed"/>
        <w:tblLook w:firstColumn="1" w:firstRow="1" w:lastColumn="0" w:lastRow="0" w:noHBand="0" w:noVBand="1" w:val="04A0"/>
      </w:tblPr>
      <w:tblGrid>
        <w:gridCol w:w="2788"/>
        <w:gridCol w:w="3267"/>
        <w:gridCol w:w="3016"/>
      </w:tblGrid>
      <w:tr>
        <w:trPr>
          <w:tblHeader w:val="true"/>
          <w:cantSplit/>
        </w:trPr>
        <w:tc>
          <w:tcPr>
            <w:tcW w:type="dxa" w:w="2788"/>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Voraussetzung</w:t>
            </w:r>
          </w:p>
        </w:tc>
        <w:tc>
          <w:tcPr>
            <w:tcW w:type="dxa" w:w="3267"/>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Feststellung</w:t>
            </w:r>
          </w:p>
        </w:tc>
        <w:tc>
          <w:tcPr>
            <w:tcW w:type="dxa" w:w="3016"/>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Aktenbeleg</w:t>
            </w:r>
          </w:p>
        </w:tc>
      </w:tr>
      <w:tr>
        <w:trPr>
          <w:cantSplit/>
        </w:trPr>
        <w:tc>
          <w:tcPr>
            <w:tcW w:type="dxa" w:w="2788"/>
            <w:vAlign w:val="top"/>
            <w:tcMar>
              <w:top w:w="60" w:type="dxa"/>
              <w:start w:w="90" w:type="dxa"/>
              <w:bottom w:w="60" w:type="dxa"/>
              <w:end w:w="90" w:type="dxa"/>
            </w:tcMar>
          </w:tcPr>
          <w:p>
            <w:pPr>
              <w:keepLines/>
              <w:spacing w:after="0"/>
            </w:pPr>
            <w:r/>
            <w:r>
              <w:rPr>
                <w:rFonts w:ascii="Times New Roman" w:hAnsi="Times New Roman"/>
                <w:sz w:val="17"/>
              </w:rPr>
              <w:t>Unternehmensumstrukturierung</w:t>
            </w:r>
          </w:p>
        </w:tc>
        <w:tc>
          <w:tcPr>
            <w:tcW w:type="dxa" w:w="3267"/>
            <w:vAlign w:val="top"/>
            <w:tcMar>
              <w:top w:w="60" w:type="dxa"/>
              <w:start w:w="90" w:type="dxa"/>
              <w:bottom w:w="60" w:type="dxa"/>
              <w:end w:w="90" w:type="dxa"/>
            </w:tcMar>
          </w:tcPr>
          <w:p>
            <w:pPr>
              <w:keepLines/>
              <w:spacing w:after="0"/>
            </w:pPr>
            <w:r/>
            <w:r>
              <w:rPr>
                <w:rFonts w:ascii="Times New Roman" w:hAnsi="Times New Roman"/>
                <w:sz w:val="17"/>
              </w:rPr>
              <w:t>Erwerb des Betriebsteils aus der Insolvenzmasse</w:t>
            </w:r>
          </w:p>
        </w:tc>
        <w:tc>
          <w:tcPr>
            <w:tcW w:type="dxa" w:w="3016"/>
            <w:vAlign w:val="top"/>
            <w:tcMar>
              <w:top w:w="60" w:type="dxa"/>
              <w:start w:w="90" w:type="dxa"/>
              <w:bottom w:w="60" w:type="dxa"/>
              <w:end w:w="90" w:type="dxa"/>
            </w:tcMar>
          </w:tcPr>
          <w:p>
            <w:pPr>
              <w:keepLines/>
              <w:spacing w:after="0"/>
            </w:pPr>
            <w:r/>
            <w:r>
              <w:rPr>
                <w:rFonts w:ascii="Times New Roman" w:hAnsi="Times New Roman"/>
                <w:sz w:val="17"/>
              </w:rPr>
              <w:t>Unternehmenskaufvertrag, Anlagen 1 bis 6</w:t>
            </w:r>
          </w:p>
        </w:tc>
      </w:tr>
      <w:tr>
        <w:trPr>
          <w:cantSplit/>
        </w:trPr>
        <w:tc>
          <w:tcPr>
            <w:tcW w:type="dxa" w:w="2788"/>
            <w:vAlign w:val="top"/>
            <w:tcMar>
              <w:top w:w="60" w:type="dxa"/>
              <w:start w:w="90" w:type="dxa"/>
              <w:bottom w:w="60" w:type="dxa"/>
              <w:end w:w="90" w:type="dxa"/>
            </w:tcMar>
            <w:shd w:fill="F1F3F3"/>
          </w:tcPr>
          <w:p>
            <w:pPr>
              <w:keepLines/>
              <w:spacing w:after="0"/>
            </w:pPr>
            <w:r/>
            <w:r>
              <w:rPr>
                <w:rFonts w:ascii="Times New Roman" w:hAnsi="Times New Roman"/>
                <w:sz w:val="17"/>
              </w:rPr>
              <w:t>funktionales Einrücken</w:t>
            </w:r>
          </w:p>
        </w:tc>
        <w:tc>
          <w:tcPr>
            <w:tcW w:type="dxa" w:w="3267"/>
            <w:vAlign w:val="top"/>
            <w:tcMar>
              <w:top w:w="60" w:type="dxa"/>
              <w:start w:w="90" w:type="dxa"/>
              <w:bottom w:w="60" w:type="dxa"/>
              <w:end w:w="90" w:type="dxa"/>
            </w:tcMar>
            <w:shd w:fill="F1F3F3"/>
          </w:tcPr>
          <w:p>
            <w:pPr>
              <w:keepLines/>
              <w:spacing w:after="0"/>
            </w:pPr>
            <w:r/>
            <w:r>
              <w:rPr>
                <w:rFonts w:ascii="Times New Roman" w:hAnsi="Times New Roman"/>
                <w:sz w:val="17"/>
              </w:rPr>
              <w:t>Personal, Systeme, Rechte, Betriebsmittel und Pflichten gehen auf die Erwerberin über</w:t>
            </w:r>
          </w:p>
        </w:tc>
        <w:tc>
          <w:tcPr>
            <w:tcW w:type="dxa" w:w="3016"/>
            <w:vAlign w:val="top"/>
            <w:tcMar>
              <w:top w:w="60" w:type="dxa"/>
              <w:start w:w="90" w:type="dxa"/>
              <w:bottom w:w="60" w:type="dxa"/>
              <w:end w:w="90" w:type="dxa"/>
            </w:tcMar>
            <w:shd w:fill="F1F3F3"/>
          </w:tcPr>
          <w:p>
            <w:pPr>
              <w:keepLines/>
              <w:spacing w:after="0"/>
            </w:pPr>
            <w:r/>
            <w:r>
              <w:rPr>
                <w:rFonts w:ascii="Times New Roman" w:hAnsi="Times New Roman"/>
                <w:sz w:val="17"/>
              </w:rPr>
              <w:t>Übertragungsverzeichnis vom 04.11.2026</w:t>
            </w:r>
          </w:p>
        </w:tc>
      </w:tr>
      <w:tr>
        <w:trPr>
          <w:cantSplit/>
        </w:trPr>
        <w:tc>
          <w:tcPr>
            <w:tcW w:type="dxa" w:w="2788"/>
            <w:vAlign w:val="top"/>
            <w:tcMar>
              <w:top w:w="60" w:type="dxa"/>
              <w:start w:w="90" w:type="dxa"/>
              <w:bottom w:w="60" w:type="dxa"/>
              <w:end w:w="90" w:type="dxa"/>
            </w:tcMar>
          </w:tcPr>
          <w:p>
            <w:pPr>
              <w:keepLines/>
              <w:spacing w:after="0"/>
            </w:pPr>
            <w:r/>
            <w:r>
              <w:rPr>
                <w:rFonts w:ascii="Times New Roman" w:hAnsi="Times New Roman"/>
                <w:sz w:val="17"/>
              </w:rPr>
              <w:t>ursprüngliche Eignung</w:t>
            </w:r>
          </w:p>
        </w:tc>
        <w:tc>
          <w:tcPr>
            <w:tcW w:type="dxa" w:w="3267"/>
            <w:vAlign w:val="top"/>
            <w:tcMar>
              <w:top w:w="60" w:type="dxa"/>
              <w:start w:w="90" w:type="dxa"/>
              <w:bottom w:w="60" w:type="dxa"/>
              <w:end w:w="90" w:type="dxa"/>
            </w:tcMar>
          </w:tcPr>
          <w:p>
            <w:pPr>
              <w:keepLines/>
              <w:spacing w:after="0"/>
            </w:pPr>
            <w:r/>
            <w:r>
              <w:rPr>
                <w:rFonts w:ascii="Times New Roman" w:hAnsi="Times New Roman"/>
                <w:sz w:val="17"/>
              </w:rPr>
              <w:t>Anforderungen nach Abschluss der Nachprüfung erfüllt</w:t>
            </w:r>
          </w:p>
        </w:tc>
        <w:tc>
          <w:tcPr>
            <w:tcW w:type="dxa" w:w="3016"/>
            <w:vAlign w:val="top"/>
            <w:tcMar>
              <w:top w:w="60" w:type="dxa"/>
              <w:start w:w="90" w:type="dxa"/>
              <w:bottom w:w="60" w:type="dxa"/>
              <w:end w:w="90" w:type="dxa"/>
            </w:tcMar>
          </w:tcPr>
          <w:p>
            <w:pPr>
              <w:keepLines/>
              <w:spacing w:after="0"/>
            </w:pPr>
            <w:r/>
            <w:r>
              <w:rPr>
                <w:rFonts w:ascii="Times New Roman" w:hAnsi="Times New Roman"/>
                <w:sz w:val="17"/>
              </w:rPr>
              <w:t>Eignungsmatrix, Audit, Versicherung, Registerauskunft</w:t>
            </w:r>
          </w:p>
        </w:tc>
      </w:tr>
      <w:tr>
        <w:trPr>
          <w:cantSplit/>
        </w:trPr>
        <w:tc>
          <w:tcPr>
            <w:tcW w:type="dxa" w:w="2788"/>
            <w:vAlign w:val="top"/>
            <w:tcMar>
              <w:top w:w="60" w:type="dxa"/>
              <w:start w:w="90" w:type="dxa"/>
              <w:bottom w:w="60" w:type="dxa"/>
              <w:end w:w="90" w:type="dxa"/>
            </w:tcMar>
            <w:shd w:fill="F1F3F3"/>
          </w:tcPr>
          <w:p>
            <w:pPr>
              <w:keepLines/>
              <w:spacing w:after="0"/>
            </w:pPr>
            <w:r/>
            <w:r>
              <w:rPr>
                <w:rFonts w:ascii="Times New Roman" w:hAnsi="Times New Roman"/>
                <w:sz w:val="17"/>
              </w:rPr>
              <w:t>keine weitere wesentliche Änderung</w:t>
            </w:r>
          </w:p>
        </w:tc>
        <w:tc>
          <w:tcPr>
            <w:tcW w:type="dxa" w:w="3267"/>
            <w:vAlign w:val="top"/>
            <w:tcMar>
              <w:top w:w="60" w:type="dxa"/>
              <w:start w:w="90" w:type="dxa"/>
              <w:bottom w:w="60" w:type="dxa"/>
              <w:end w:w="90" w:type="dxa"/>
            </w:tcMar>
            <w:shd w:fill="F1F3F3"/>
          </w:tcPr>
          <w:p>
            <w:pPr>
              <w:keepLines/>
              <w:spacing w:after="0"/>
            </w:pPr>
            <w:r/>
            <w:r>
              <w:rPr>
                <w:rFonts w:ascii="Times New Roman" w:hAnsi="Times New Roman"/>
                <w:sz w:val="17"/>
              </w:rPr>
              <w:t>Preis, Umfang, Laufzeit, Haftung und Risikoverteilung unverändert</w:t>
            </w:r>
          </w:p>
        </w:tc>
        <w:tc>
          <w:tcPr>
            <w:tcW w:type="dxa" w:w="3016"/>
            <w:vAlign w:val="top"/>
            <w:tcMar>
              <w:top w:w="60" w:type="dxa"/>
              <w:start w:w="90" w:type="dxa"/>
              <w:bottom w:w="60" w:type="dxa"/>
              <w:end w:w="90" w:type="dxa"/>
            </w:tcMar>
            <w:shd w:fill="F1F3F3"/>
          </w:tcPr>
          <w:p>
            <w:pPr>
              <w:keepLines/>
              <w:spacing w:after="0"/>
            </w:pPr>
            <w:r/>
            <w:r>
              <w:rPr>
                <w:rFonts w:ascii="Times New Roman" w:hAnsi="Times New Roman"/>
                <w:sz w:val="17"/>
              </w:rPr>
              <w:t>dreiseitige Eintrittsvereinbarung</w:t>
            </w:r>
          </w:p>
        </w:tc>
      </w:tr>
      <w:tr>
        <w:trPr>
          <w:cantSplit/>
        </w:trPr>
        <w:tc>
          <w:tcPr>
            <w:tcW w:type="dxa" w:w="2788"/>
            <w:vAlign w:val="top"/>
            <w:tcMar>
              <w:top w:w="60" w:type="dxa"/>
              <w:start w:w="90" w:type="dxa"/>
              <w:bottom w:w="60" w:type="dxa"/>
              <w:end w:w="90" w:type="dxa"/>
            </w:tcMar>
          </w:tcPr>
          <w:p>
            <w:pPr>
              <w:keepLines/>
              <w:spacing w:after="0"/>
            </w:pPr>
            <w:r/>
            <w:r>
              <w:rPr>
                <w:rFonts w:ascii="Times New Roman" w:hAnsi="Times New Roman"/>
                <w:sz w:val="17"/>
              </w:rPr>
              <w:t>keine Umgehung</w:t>
            </w:r>
          </w:p>
        </w:tc>
        <w:tc>
          <w:tcPr>
            <w:tcW w:type="dxa" w:w="3267"/>
            <w:vAlign w:val="top"/>
            <w:tcMar>
              <w:top w:w="60" w:type="dxa"/>
              <w:start w:w="90" w:type="dxa"/>
              <w:bottom w:w="60" w:type="dxa"/>
              <w:end w:w="90" w:type="dxa"/>
            </w:tcMar>
          </w:tcPr>
          <w:p>
            <w:pPr>
              <w:keepLines/>
              <w:spacing w:after="0"/>
            </w:pPr>
            <w:r/>
            <w:r>
              <w:rPr>
                <w:rFonts w:ascii="Times New Roman" w:hAnsi="Times New Roman"/>
                <w:sz w:val="17"/>
              </w:rPr>
              <w:t>Erwerb betrifft operativen Betriebsteil, nicht nur den öffentlichen Auftrag</w:t>
            </w:r>
          </w:p>
        </w:tc>
        <w:tc>
          <w:tcPr>
            <w:tcW w:type="dxa" w:w="3016"/>
            <w:vAlign w:val="top"/>
            <w:tcMar>
              <w:top w:w="60" w:type="dxa"/>
              <w:start w:w="90" w:type="dxa"/>
              <w:bottom w:w="60" w:type="dxa"/>
              <w:end w:w="90" w:type="dxa"/>
            </w:tcMar>
          </w:tcPr>
          <w:p>
            <w:pPr>
              <w:keepLines/>
              <w:spacing w:after="0"/>
            </w:pPr>
            <w:r/>
            <w:r>
              <w:rPr>
                <w:rFonts w:ascii="Times New Roman" w:hAnsi="Times New Roman"/>
                <w:sz w:val="17"/>
              </w:rPr>
              <w:t>Insolvenzunterlagen und Kaufpreisallokation</w:t>
            </w:r>
          </w:p>
        </w:tc>
      </w:tr>
    </w:tbl>
    <w:p>
      <w:pPr>
        <w:spacing w:after="0" w:before="40"/>
      </w:pPr>
    </w:p>
    <w:p>
      <w:r>
        <w:t>Nach gegenwärtigem Prüfstand sind die Voraussetzungen des § 132 Abs. 2 Satz 1 Nr. 4 Buchstabe b GWB erfüllt. Die abschließende Vollzugsfreigabe bleibt der Entscheidung nach Abschluss des Nachprüfungsverfahrens vorbehalten. Die beabsichtigte Zustimmung stützt sich nicht auf § 132 Abs. 2 Satz 1 Nr. 2 oder Nr. 3 GWB.</w:t>
      </w:r>
    </w:p>
    <w:p>
      <w:pPr>
        <w:pStyle w:val="Heading1"/>
      </w:pPr>
      <w:r>
        <w:t>Bekanntmachung</w:t>
      </w:r>
    </w:p>
    <w:p>
      <w:r>
        <w:t>§ 132 Abs. 5 GWB schreibt eine Bekanntmachung im Amtsblatt der Europäischen Union für Änderungen nach § 132 Abs. 2 Satz 1 Nr. 2 und Nr. 3 vor. Der hier allein auf Nr. 4 Buchstabe b gestützte Auftragnehmerwechsel löst diese Pflicht nicht aus. Eine Bekanntmachung nach § 132 Abs. 5 GWB wird daher nicht veranlasst.</w:t>
      </w:r>
    </w:p>
    <w:p>
      <w:pPr>
        <w:keepNext/>
        <w:keepLines/>
      </w:pPr>
      <w:r>
        <w:t>Die Stadt prüft gesondert, ob eine freiwillige Ex-ante-Transparenzbekanntmachung nach § 135 Abs. 3 GWB zur Begrenzung eines verbleibenden Unwirksamkeitsrisikos zweckmäßig und inhaltlich tragfähig ist. Eine solche Veröffentlichung ersetzt weder die Tatbestandsprüfung noch die dort geregelte Wartefrist.</w:t>
      </w:r>
    </w:p>
    <w:p>
      <w:pPr>
        <w:pStyle w:val="Heading1"/>
        <w:keepNext/>
        <w:keepLines/>
      </w:pPr>
      <w:r>
        <w:t>Vertragsvollzug</w:t>
      </w:r>
    </w:p>
    <w:p>
      <w:pPr>
        <w:pStyle w:val="ListNumber"/>
        <w:keepNext/>
        <w:keepLines/>
      </w:pPr>
      <w:r>
        <w:t>Die Eintrittsvereinbarung darf erst nach Abschluss des Nachprüfungsverfahrens und Erfüllung der beiden aufschiebenden Bedingungen gegengezeichnet werden.</w:t>
      </w:r>
    </w:p>
    <w:p>
      <w:pPr>
        <w:pStyle w:val="ListNumber"/>
        <w:keepNext/>
        <w:keepLines/>
      </w:pPr>
      <w:r>
        <w:t>Altverbindlichkeiten der Insolvenzschuldnerin werden nicht übernommen.</w:t>
      </w:r>
    </w:p>
    <w:p>
      <w:pPr>
        <w:pStyle w:val="ListNumber"/>
        <w:keepNext/>
        <w:keepLines/>
      </w:pPr>
      <w:r>
        <w:t>Jede spätere Preis-, Umfangs- oder Laufzeitänderung erhält eine eigenständige Prüfung nach § 132 GWB.</w:t>
      </w:r>
    </w:p>
    <w:p>
      <w:pPr>
        <w:pStyle w:val="ListNumber"/>
        <w:keepNext/>
        <w:keepLines/>
      </w:pPr>
      <w:r>
        <w:t>Das Rechnungsprüfungsamt erhält die ungeschwärzte Entscheidung samt Belegmatrix.</w:t>
      </w:r>
    </w:p>
    <w:p>
      <w:pPr>
        <w:pStyle w:val="ListNumber"/>
        <w:keepNext/>
        <w:keepLines/>
      </w:pPr>
      <w:r>
        <w:t>Das Fachamt kontrolliert die Service Levels in den ersten acht Wochen wöchentlich und dokumentiert Abweichungen.</w:t>
      </w:r>
    </w:p>
    <w:p>
      <w:pPr>
        <w:pStyle w:val="Heading1"/>
        <w:keepLines/>
      </w:pPr>
      <w:r>
        <w:t>Freigaben</w:t>
      </w:r>
    </w:p>
    <w:tbl>
      <w:tblPr>
        <w:tblStyle w:val="TableGrid"/>
        <w:tblW w:type="dxa" w:w="9071"/>
        <w:jc w:val="left"/>
        <w:tblLayout w:type="fixed"/>
        <w:tblLook w:firstColumn="1" w:firstRow="1" w:lastColumn="0" w:lastRow="0" w:noHBand="0" w:noVBand="1" w:val="04A0"/>
      </w:tblPr>
      <w:tblGrid>
        <w:gridCol w:w="2568"/>
        <w:gridCol w:w="4280"/>
        <w:gridCol w:w="2223"/>
      </w:tblGrid>
      <w:tr>
        <w:trPr>
          <w:tblHeader w:val="true"/>
          <w:cantSplit/>
        </w:trPr>
        <w:tc>
          <w:tcPr>
            <w:tcW w:type="dxa" w:w="25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Funktion</w:t>
            </w:r>
          </w:p>
        </w:tc>
        <w:tc>
          <w:tcPr>
            <w:tcW w:type="dxa" w:w="42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Entscheidung</w:t>
            </w:r>
          </w:p>
        </w:tc>
        <w:tc>
          <w:tcPr>
            <w:tcW w:type="dxa" w:w="2223"/>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Datum</w:t>
            </w:r>
          </w:p>
        </w:tc>
      </w:tr>
      <w:tr>
        <w:trPr>
          <w:cantSplit/>
        </w:trPr>
        <w:tc>
          <w:tcPr>
            <w:tcW w:type="dxa" w:w="2568"/>
            <w:vAlign w:val="top"/>
            <w:tcMar>
              <w:top w:w="60" w:type="dxa"/>
              <w:start w:w="90" w:type="dxa"/>
              <w:bottom w:w="60" w:type="dxa"/>
              <w:end w:w="90" w:type="dxa"/>
            </w:tcMar>
          </w:tcPr>
          <w:p>
            <w:pPr>
              <w:keepLines/>
              <w:spacing w:after="0"/>
            </w:pPr>
            <w:r/>
            <w:r>
              <w:rPr>
                <w:rFonts w:ascii="Times New Roman" w:hAnsi="Times New Roman"/>
                <w:sz w:val="17"/>
              </w:rPr>
              <w:t>Fachamt</w:t>
            </w:r>
          </w:p>
        </w:tc>
        <w:tc>
          <w:tcPr>
            <w:tcW w:type="dxa" w:w="4280"/>
            <w:vAlign w:val="top"/>
            <w:tcMar>
              <w:top w:w="60" w:type="dxa"/>
              <w:start w:w="90" w:type="dxa"/>
              <w:bottom w:w="60" w:type="dxa"/>
              <w:end w:w="90" w:type="dxa"/>
            </w:tcMar>
          </w:tcPr>
          <w:p>
            <w:pPr>
              <w:keepLines/>
              <w:spacing w:after="0"/>
            </w:pPr>
            <w:r/>
            <w:r>
              <w:rPr>
                <w:rFonts w:ascii="Times New Roman" w:hAnsi="Times New Roman"/>
                <w:sz w:val="17"/>
              </w:rPr>
              <w:t>fachlich zur späteren Freigabe empfohlen</w:t>
            </w:r>
          </w:p>
        </w:tc>
        <w:tc>
          <w:tcPr>
            <w:tcW w:type="dxa" w:w="2223"/>
            <w:vAlign w:val="top"/>
            <w:tcMar>
              <w:top w:w="60" w:type="dxa"/>
              <w:start w:w="90" w:type="dxa"/>
              <w:bottom w:w="60" w:type="dxa"/>
              <w:end w:w="90" w:type="dxa"/>
            </w:tcMar>
          </w:tcPr>
          <w:p>
            <w:pPr>
              <w:keepLines/>
              <w:spacing w:after="0"/>
            </w:pPr>
            <w:r/>
            <w:r>
              <w:rPr>
                <w:rFonts w:ascii="Times New Roman" w:hAnsi="Times New Roman"/>
                <w:sz w:val="17"/>
              </w:rPr>
              <w:t>18.11.2026</w:t>
            </w:r>
          </w:p>
        </w:tc>
      </w:tr>
      <w:tr>
        <w:trPr>
          <w:cantSplit/>
        </w:trPr>
        <w:tc>
          <w:tcPr>
            <w:tcW w:type="dxa" w:w="2568"/>
            <w:vAlign w:val="top"/>
            <w:tcMar>
              <w:top w:w="60" w:type="dxa"/>
              <w:start w:w="90" w:type="dxa"/>
              <w:bottom w:w="60" w:type="dxa"/>
              <w:end w:w="90" w:type="dxa"/>
            </w:tcMar>
            <w:shd w:fill="F1F3F3"/>
          </w:tcPr>
          <w:p>
            <w:pPr>
              <w:keepLines/>
              <w:spacing w:after="0"/>
            </w:pPr>
            <w:r/>
            <w:r>
              <w:rPr>
                <w:rFonts w:ascii="Times New Roman" w:hAnsi="Times New Roman"/>
                <w:sz w:val="17"/>
              </w:rPr>
              <w:t>Zentrale Vergabestelle</w:t>
            </w:r>
          </w:p>
        </w:tc>
        <w:tc>
          <w:tcPr>
            <w:tcW w:type="dxa" w:w="4280"/>
            <w:vAlign w:val="top"/>
            <w:tcMar>
              <w:top w:w="60" w:type="dxa"/>
              <w:start w:w="90" w:type="dxa"/>
              <w:bottom w:w="60" w:type="dxa"/>
              <w:end w:w="90" w:type="dxa"/>
            </w:tcMar>
            <w:shd w:fill="F1F3F3"/>
          </w:tcPr>
          <w:p>
            <w:pPr>
              <w:keepLines/>
              <w:spacing w:after="0"/>
            </w:pPr>
            <w:r/>
            <w:r>
              <w:rPr>
                <w:rFonts w:ascii="Times New Roman" w:hAnsi="Times New Roman"/>
                <w:sz w:val="17"/>
              </w:rPr>
              <w:t>Tatbestand bejaht, Vollzug zurückgestellt</w:t>
            </w:r>
          </w:p>
        </w:tc>
        <w:tc>
          <w:tcPr>
            <w:tcW w:type="dxa" w:w="2223"/>
            <w:vAlign w:val="top"/>
            <w:tcMar>
              <w:top w:w="60" w:type="dxa"/>
              <w:start w:w="90" w:type="dxa"/>
              <w:bottom w:w="60" w:type="dxa"/>
              <w:end w:w="90" w:type="dxa"/>
            </w:tcMar>
            <w:shd w:fill="F1F3F3"/>
          </w:tcPr>
          <w:p>
            <w:pPr>
              <w:keepLines/>
              <w:spacing w:after="0"/>
            </w:pPr>
            <w:r/>
            <w:r>
              <w:rPr>
                <w:rFonts w:ascii="Times New Roman" w:hAnsi="Times New Roman"/>
                <w:sz w:val="17"/>
              </w:rPr>
              <w:t>18.11.2026</w:t>
            </w:r>
          </w:p>
        </w:tc>
      </w:tr>
      <w:tr>
        <w:trPr>
          <w:cantSplit/>
        </w:trPr>
        <w:tc>
          <w:tcPr>
            <w:tcW w:type="dxa" w:w="2568"/>
            <w:vAlign w:val="top"/>
            <w:tcMar>
              <w:top w:w="60" w:type="dxa"/>
              <w:start w:w="90" w:type="dxa"/>
              <w:bottom w:w="60" w:type="dxa"/>
              <w:end w:w="90" w:type="dxa"/>
            </w:tcMar>
          </w:tcPr>
          <w:p>
            <w:pPr>
              <w:keepLines/>
              <w:spacing w:after="0"/>
            </w:pPr>
            <w:r/>
            <w:r>
              <w:rPr>
                <w:rFonts w:ascii="Times New Roman" w:hAnsi="Times New Roman"/>
                <w:sz w:val="17"/>
              </w:rPr>
              <w:t>Rechtsamt</w:t>
            </w:r>
          </w:p>
        </w:tc>
        <w:tc>
          <w:tcPr>
            <w:tcW w:type="dxa" w:w="4280"/>
            <w:vAlign w:val="top"/>
            <w:tcMar>
              <w:top w:w="60" w:type="dxa"/>
              <w:start w:w="90" w:type="dxa"/>
              <w:bottom w:w="60" w:type="dxa"/>
              <w:end w:w="90" w:type="dxa"/>
            </w:tcMar>
          </w:tcPr>
          <w:p>
            <w:pPr>
              <w:keepLines/>
              <w:spacing w:after="0"/>
            </w:pPr>
            <w:r/>
            <w:r>
              <w:rPr>
                <w:rFonts w:ascii="Times New Roman" w:hAnsi="Times New Roman"/>
                <w:sz w:val="17"/>
              </w:rPr>
              <w:t>keine Einwände nach Verfahrensabschluss und Bedingungseintritt</w:t>
            </w:r>
          </w:p>
        </w:tc>
        <w:tc>
          <w:tcPr>
            <w:tcW w:type="dxa" w:w="2223"/>
            <w:vAlign w:val="top"/>
            <w:tcMar>
              <w:top w:w="60" w:type="dxa"/>
              <w:start w:w="90" w:type="dxa"/>
              <w:bottom w:w="60" w:type="dxa"/>
              <w:end w:w="90" w:type="dxa"/>
            </w:tcMar>
          </w:tcPr>
          <w:p>
            <w:pPr>
              <w:keepLines/>
              <w:spacing w:after="0"/>
            </w:pPr>
            <w:r/>
            <w:r>
              <w:rPr>
                <w:rFonts w:ascii="Times New Roman" w:hAnsi="Times New Roman"/>
                <w:sz w:val="17"/>
              </w:rPr>
              <w:t>18.11.2026</w:t>
            </w:r>
          </w:p>
        </w:tc>
      </w:tr>
      <w:tr>
        <w:trPr>
          <w:cantSplit/>
        </w:trPr>
        <w:tc>
          <w:tcPr>
            <w:tcW w:type="dxa" w:w="2568"/>
            <w:vAlign w:val="top"/>
            <w:tcMar>
              <w:top w:w="60" w:type="dxa"/>
              <w:start w:w="90" w:type="dxa"/>
              <w:bottom w:w="60" w:type="dxa"/>
              <w:end w:w="90" w:type="dxa"/>
            </w:tcMar>
            <w:shd w:fill="F1F3F3"/>
          </w:tcPr>
          <w:p>
            <w:pPr>
              <w:keepLines/>
              <w:spacing w:after="0"/>
            </w:pPr>
            <w:r/>
            <w:r>
              <w:rPr>
                <w:rFonts w:ascii="Times New Roman" w:hAnsi="Times New Roman"/>
                <w:sz w:val="17"/>
              </w:rPr>
              <w:t>Haushaltsstelle</w:t>
            </w:r>
          </w:p>
        </w:tc>
        <w:tc>
          <w:tcPr>
            <w:tcW w:type="dxa" w:w="4280"/>
            <w:vAlign w:val="top"/>
            <w:tcMar>
              <w:top w:w="60" w:type="dxa"/>
              <w:start w:w="90" w:type="dxa"/>
              <w:bottom w:w="60" w:type="dxa"/>
              <w:end w:w="90" w:type="dxa"/>
            </w:tcMar>
            <w:shd w:fill="F1F3F3"/>
          </w:tcPr>
          <w:p>
            <w:pPr>
              <w:keepLines/>
              <w:spacing w:after="0"/>
            </w:pPr>
            <w:r/>
            <w:r>
              <w:rPr>
                <w:rFonts w:ascii="Times New Roman" w:hAnsi="Times New Roman"/>
                <w:sz w:val="17"/>
              </w:rPr>
              <w:t>Mittel unverändert verfügbar</w:t>
            </w:r>
          </w:p>
        </w:tc>
        <w:tc>
          <w:tcPr>
            <w:tcW w:type="dxa" w:w="2223"/>
            <w:vAlign w:val="top"/>
            <w:tcMar>
              <w:top w:w="60" w:type="dxa"/>
              <w:start w:w="90" w:type="dxa"/>
              <w:bottom w:w="60" w:type="dxa"/>
              <w:end w:w="90" w:type="dxa"/>
            </w:tcMar>
            <w:shd w:fill="F1F3F3"/>
          </w:tcPr>
          <w:p>
            <w:pPr>
              <w:keepLines/>
              <w:spacing w:after="0"/>
            </w:pPr>
            <w:r/>
            <w:r>
              <w:rPr>
                <w:rFonts w:ascii="Times New Roman" w:hAnsi="Times New Roman"/>
                <w:sz w:val="17"/>
              </w:rPr>
              <w:t>18.11.2026</w:t>
            </w:r>
          </w:p>
        </w:tc>
      </w:tr>
    </w:tbl>
    <w:p>
      <w:pPr>
        <w:spacing w:after="0" w:before="40"/>
      </w:pP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Zentrale Vergabestelle</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Entscheidungsvorlage zum Auftragnehmerwechsel auf NordSys Betriebserwerber GmbH</dc:title>
  <dc:subject>Entscheidungsvorlage und Bekanntmachungsvermerk | Az. HB-IT-SERVICE-2026</dc:subject>
  <dc:creator>Stadt Hafenburg - Zentrale Vergabestelle</dc:creator>
  <cp:keywords>Vergaberecht, HB-IT-SERVICE-2026, Entscheidungsvorlage und Bekanntmachungsvermerk</cp:keywords>
  <dc:description>generated by python-docx</dc:description>
  <cp:lastModifiedBy>Stadt Hafenburg - Zentrale Vergabestelle</cp:lastModifiedBy>
  <cp:revision>1</cp:revision>
  <dcterms:created xsi:type="dcterms:W3CDTF">2000-01-01T00:00:00Z</dcterms:created>
  <dcterms:modified xsi:type="dcterms:W3CDTF">2000-01-01T00:00:00Z</dcterms:modified>
  <cp:category>Vergabeakte</cp:category>
</cp:coreProperties>
</file>