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NordSys Betriebserwerber GmbH</w:t>
            </w:r>
          </w:p>
          <w:p>
            <w:pPr>
              <w:spacing w:after="0"/>
            </w:pPr>
            <w:r>
              <w:rPr>
                <w:color w:val="646464"/>
                <w:sz w:val="18"/>
              </w:rPr>
              <w:t>Werftweg 3, 21129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16.12.2026</w:t>
              <w:br/>
            </w:r>
            <w:r>
              <w:rPr>
                <w:rFonts w:ascii="Times New Roman" w:hAnsi="Times New Roman"/>
                <w:color w:val="646464"/>
                <w:sz w:val="18"/>
              </w:rPr>
              <w:t>Aktenzeichen: HB-IT-SERVICE-2026 / NSB-CLOSING-04</w:t>
              <w:br/>
            </w:r>
            <w:r>
              <w:rPr>
                <w:rFonts w:ascii="Times New Roman" w:hAnsi="Times New Roman"/>
                <w:color w:val="646464"/>
                <w:sz w:val="18"/>
              </w:rPr>
              <w:t>Closing- und Vollzugsnachweis zum Auftragnehmerwechsel</w:t>
            </w:r>
          </w:p>
        </w:tc>
      </w:tr>
    </w:tbl>
    <w:p>
      <w:pPr>
        <w:spacing w:before="200" w:after="40"/>
      </w:pPr>
      <w:r>
        <w:rPr>
          <w:rFonts w:ascii="Times New Roman" w:hAnsi="Times New Roman"/>
          <w:color w:val="646464"/>
          <w:sz w:val="15"/>
        </w:rPr>
        <w:t>NordSys Betriebserwerber GmbH · Werftweg 3, 21129 Hafenburg</w:t>
      </w:r>
    </w:p>
    <w:p>
      <w:pPr>
        <w:spacing w:after="240"/>
      </w:pPr>
      <w:r>
        <w:t>Stadt Hafenburg - Amt für Digitalisierung</w:t>
      </w:r>
    </w:p>
    <w:p>
      <w:pPr>
        <w:pStyle w:val="Title"/>
      </w:pPr>
      <w:r>
        <w:t>Vollzug des Asset Deals, Personal- und Lizenzkontinuität</w:t>
      </w:r>
    </w:p>
    <w:p>
      <w:pPr>
        <w:pStyle w:val="Heading1"/>
      </w:pPr>
      <w:r>
        <w:t>1. Vollzugsbestätigung</w:t>
      </w:r>
    </w:p>
    <w:p>
      <w:r>
        <w:t>Die Verwalterin über das Vermögen der NordSys Services GmbH und die NordSys Betriebserwerber GmbH bestätigen den wirtschaftlichen Vollzug des Unternehmenskaufvertrags zum 15.12.2026, 23:59 Uhr. Der Eintritt in den kommunalen Leistungsvertrag steht unter der gesonderten Zustimmung der Stadt Hafenburg und begründet keine Erweiterung von Leistung, Preis oder Laufzeit.</w:t>
      </w:r>
    </w:p>
    <w:p>
      <w:r>
        <w:t>Der Kaufpreis ist auf dem Anderkonto eingegangen. Die Freigaben des Gläubigerausschusses und des Insolvenzgerichts liegen vor. Nicht übertragen wurden Forderungen aus Leistungen vor dem Stichtag, gesellschaftsrechtliche Verbindlichkeiten der Veräußerin und zwei nicht für den kommunalen Betrieb eingesetzte Entwicklungsprojekte.</w:t>
      </w:r>
    </w:p>
    <w:p>
      <w:pPr>
        <w:pStyle w:val="Heading1"/>
      </w:pPr>
      <w:r>
        <w:t>2. Personalübergang</w:t>
      </w:r>
    </w:p>
    <w:tbl>
      <w:tblPr>
        <w:tblStyle w:val="TableGrid"/>
        <w:tblW w:type="dxa" w:w="9070"/>
        <w:jc w:val="left"/>
        <w:tblLayout w:type="fixed"/>
        <w:tblLook w:firstColumn="1" w:firstRow="1" w:lastColumn="0" w:lastRow="0" w:noHBand="0" w:noVBand="1" w:val="04A0"/>
      </w:tblPr>
      <w:tblGrid>
        <w:gridCol w:w="1904"/>
        <w:gridCol w:w="1706"/>
        <w:gridCol w:w="1501"/>
        <w:gridCol w:w="1501"/>
        <w:gridCol w:w="2458"/>
      </w:tblGrid>
      <w:tr>
        <w:trPr>
          <w:tblHeader w:val="true"/>
          <w:cantSplit/>
        </w:trPr>
        <w:tc>
          <w:tcPr>
            <w:tcW w:type="dxa" w:w="1904"/>
            <w:vAlign w:val="top"/>
            <w:tcMar>
              <w:top w:w="60" w:type="dxa"/>
              <w:start w:w="90" w:type="dxa"/>
              <w:bottom w:w="60" w:type="dxa"/>
              <w:end w:w="90" w:type="dxa"/>
            </w:tcMar>
            <w:shd w:fill="01696F"/>
          </w:tcPr>
          <w:p>
            <w:pPr>
              <w:keepLines/>
              <w:spacing w:after="0"/>
            </w:pPr>
            <w:r/>
            <w:r>
              <w:rPr>
                <w:rFonts w:ascii="Times New Roman" w:hAnsi="Times New Roman"/>
                <w:b/>
                <w:color w:val="FFFFFF"/>
                <w:sz w:val="17"/>
              </w:rPr>
              <w:t>Funktionsgruppe</w:t>
            </w:r>
          </w:p>
        </w:tc>
        <w:tc>
          <w:tcPr>
            <w:tcW w:type="dxa" w:w="170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 Insolvenz dem Vertrag zugeordnet</w:t>
            </w:r>
          </w:p>
        </w:tc>
        <w:tc>
          <w:tcPr>
            <w:tcW w:type="dxa" w:w="150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Angebot der Erwerberin</w:t>
            </w:r>
          </w:p>
        </w:tc>
        <w:tc>
          <w:tcPr>
            <w:tcW w:type="dxa" w:w="150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Annahme bis 16.12.2026</w:t>
            </w:r>
          </w:p>
        </w:tc>
        <w:tc>
          <w:tcPr>
            <w:tcW w:type="dxa" w:w="2458"/>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betriebliche Abdeckung</w:t>
            </w:r>
          </w:p>
        </w:tc>
      </w:tr>
      <w:tr>
        <w:trPr>
          <w:cantSplit/>
        </w:trPr>
        <w:tc>
          <w:tcPr>
            <w:tcW w:type="dxa" w:w="1904"/>
            <w:vAlign w:val="top"/>
            <w:tcMar>
              <w:top w:w="60" w:type="dxa"/>
              <w:start w:w="90" w:type="dxa"/>
              <w:bottom w:w="60" w:type="dxa"/>
              <w:end w:w="90" w:type="dxa"/>
            </w:tcMar>
          </w:tcPr>
          <w:p>
            <w:pPr>
              <w:keepLines/>
              <w:spacing w:after="0"/>
            </w:pPr>
            <w:r/>
            <w:r>
              <w:rPr>
                <w:rFonts w:ascii="Times New Roman" w:hAnsi="Times New Roman"/>
                <w:sz w:val="17"/>
              </w:rPr>
              <w:t>Service Desk</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18</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18</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17</w:t>
            </w:r>
          </w:p>
        </w:tc>
        <w:tc>
          <w:tcPr>
            <w:tcW w:type="dxa" w:w="2458"/>
            <w:vAlign w:val="top"/>
            <w:tcMar>
              <w:top w:w="60" w:type="dxa"/>
              <w:start w:w="90" w:type="dxa"/>
              <w:bottom w:w="60" w:type="dxa"/>
              <w:end w:w="90" w:type="dxa"/>
            </w:tcMar>
          </w:tcPr>
          <w:p>
            <w:pPr>
              <w:keepLines/>
              <w:spacing w:after="0"/>
            </w:pPr>
            <w:r/>
            <w:r>
              <w:rPr>
                <w:rFonts w:ascii="Times New Roman" w:hAnsi="Times New Roman"/>
                <w:sz w:val="17"/>
              </w:rPr>
              <w:t>Schichtplan vollständig, eine Stelle durch Reserve besetzt</w:t>
            </w:r>
          </w:p>
        </w:tc>
      </w:tr>
      <w:tr>
        <w:trPr>
          <w:cantSplit/>
        </w:trPr>
        <w:tc>
          <w:tcPr>
            <w:tcW w:type="dxa" w:w="1904"/>
            <w:vAlign w:val="top"/>
            <w:tcMar>
              <w:top w:w="60" w:type="dxa"/>
              <w:start w:w="90" w:type="dxa"/>
              <w:bottom w:w="60" w:type="dxa"/>
              <w:end w:w="90" w:type="dxa"/>
            </w:tcMar>
            <w:shd w:fill="F1F3F3"/>
          </w:tcPr>
          <w:p>
            <w:pPr>
              <w:keepLines/>
              <w:spacing w:after="0"/>
            </w:pPr>
            <w:r/>
            <w:r>
              <w:rPr>
                <w:rFonts w:ascii="Times New Roman" w:hAnsi="Times New Roman"/>
                <w:sz w:val="17"/>
              </w:rPr>
              <w:t>Vor-Ort-Support</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14</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14</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12</w:t>
            </w:r>
          </w:p>
        </w:tc>
        <w:tc>
          <w:tcPr>
            <w:tcW w:type="dxa" w:w="2458"/>
            <w:vAlign w:val="top"/>
            <w:tcMar>
              <w:top w:w="60" w:type="dxa"/>
              <w:start w:w="90" w:type="dxa"/>
              <w:bottom w:w="60" w:type="dxa"/>
              <w:end w:w="90" w:type="dxa"/>
            </w:tcMar>
            <w:shd w:fill="F1F3F3"/>
          </w:tcPr>
          <w:p>
            <w:pPr>
              <w:keepLines/>
              <w:spacing w:after="0"/>
            </w:pPr>
            <w:r/>
            <w:r>
              <w:rPr>
                <w:rFonts w:ascii="Times New Roman" w:hAnsi="Times New Roman"/>
                <w:sz w:val="17"/>
              </w:rPr>
              <w:t>zwei Beschäftigte lehnten ab; Ersatzkräfte mit gleicher Zertifizierung benannt</w:t>
            </w:r>
          </w:p>
        </w:tc>
      </w:tr>
      <w:tr>
        <w:trPr>
          <w:cantSplit/>
        </w:trPr>
        <w:tc>
          <w:tcPr>
            <w:tcW w:type="dxa" w:w="1904"/>
            <w:vAlign w:val="top"/>
            <w:tcMar>
              <w:top w:w="60" w:type="dxa"/>
              <w:start w:w="90" w:type="dxa"/>
              <w:bottom w:w="60" w:type="dxa"/>
              <w:end w:w="90" w:type="dxa"/>
            </w:tcMar>
          </w:tcPr>
          <w:p>
            <w:pPr>
              <w:keepLines/>
              <w:spacing w:after="0"/>
            </w:pPr>
            <w:r/>
            <w:r>
              <w:rPr>
                <w:rFonts w:ascii="Times New Roman" w:hAnsi="Times New Roman"/>
                <w:sz w:val="17"/>
              </w:rPr>
              <w:t>Applikationsbetrieb</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11</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11</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11</w:t>
            </w:r>
          </w:p>
        </w:tc>
        <w:tc>
          <w:tcPr>
            <w:tcW w:type="dxa" w:w="2458"/>
            <w:vAlign w:val="top"/>
            <w:tcMar>
              <w:top w:w="60" w:type="dxa"/>
              <w:start w:w="90" w:type="dxa"/>
              <w:bottom w:w="60" w:type="dxa"/>
              <w:end w:w="90" w:type="dxa"/>
            </w:tcMar>
          </w:tcPr>
          <w:p>
            <w:pPr>
              <w:keepLines/>
              <w:spacing w:after="0"/>
            </w:pPr>
            <w:r/>
            <w:r>
              <w:rPr>
                <w:rFonts w:ascii="Times New Roman" w:hAnsi="Times New Roman"/>
                <w:sz w:val="17"/>
              </w:rPr>
              <w:t>vollständig</w:t>
            </w:r>
          </w:p>
        </w:tc>
      </w:tr>
      <w:tr>
        <w:trPr>
          <w:cantSplit/>
        </w:trPr>
        <w:tc>
          <w:tcPr>
            <w:tcW w:type="dxa" w:w="1904"/>
            <w:vAlign w:val="top"/>
            <w:tcMar>
              <w:top w:w="60" w:type="dxa"/>
              <w:start w:w="90" w:type="dxa"/>
              <w:bottom w:w="60" w:type="dxa"/>
              <w:end w:w="90" w:type="dxa"/>
            </w:tcMar>
            <w:shd w:fill="F1F3F3"/>
          </w:tcPr>
          <w:p>
            <w:pPr>
              <w:keepLines/>
              <w:spacing w:after="0"/>
            </w:pPr>
            <w:r/>
            <w:r>
              <w:rPr>
                <w:rFonts w:ascii="Times New Roman" w:hAnsi="Times New Roman"/>
                <w:sz w:val="17"/>
              </w:rPr>
              <w:t>Datenbank und Infrastruktur</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2458"/>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r>
      <w:tr>
        <w:trPr>
          <w:cantSplit/>
        </w:trPr>
        <w:tc>
          <w:tcPr>
            <w:tcW w:type="dxa" w:w="1904"/>
            <w:vAlign w:val="top"/>
            <w:tcMar>
              <w:top w:w="60" w:type="dxa"/>
              <w:start w:w="90" w:type="dxa"/>
              <w:bottom w:w="60" w:type="dxa"/>
              <w:end w:w="90" w:type="dxa"/>
            </w:tcMar>
          </w:tcPr>
          <w:p>
            <w:pPr>
              <w:keepLines/>
              <w:spacing w:after="0"/>
            </w:pPr>
            <w:r/>
            <w:r>
              <w:rPr>
                <w:rFonts w:ascii="Times New Roman" w:hAnsi="Times New Roman"/>
                <w:sz w:val="17"/>
              </w:rPr>
              <w:t>Serviceleitung und Qualität</w:t>
            </w:r>
          </w:p>
        </w:tc>
        <w:tc>
          <w:tcPr>
            <w:tcW w:type="dxa" w:w="1706"/>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1501"/>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2458"/>
            <w:vAlign w:val="top"/>
            <w:tcMar>
              <w:top w:w="60" w:type="dxa"/>
              <w:start w:w="90" w:type="dxa"/>
              <w:bottom w:w="60" w:type="dxa"/>
              <w:end w:w="90" w:type="dxa"/>
            </w:tcMar>
          </w:tcPr>
          <w:p>
            <w:pPr>
              <w:keepLines/>
              <w:spacing w:after="0"/>
            </w:pPr>
            <w:r/>
            <w:r>
              <w:rPr>
                <w:rFonts w:ascii="Times New Roman" w:hAnsi="Times New Roman"/>
                <w:sz w:val="17"/>
              </w:rPr>
              <w:t>vollständig</w:t>
            </w:r>
          </w:p>
        </w:tc>
      </w:tr>
      <w:tr>
        <w:trPr>
          <w:cantSplit/>
        </w:trPr>
        <w:tc>
          <w:tcPr>
            <w:tcW w:type="dxa" w:w="1904"/>
            <w:vAlign w:val="top"/>
            <w:tcMar>
              <w:top w:w="60" w:type="dxa"/>
              <w:start w:w="90" w:type="dxa"/>
              <w:bottom w:w="60" w:type="dxa"/>
              <w:end w:w="90" w:type="dxa"/>
            </w:tcMar>
            <w:shd w:fill="F1F3F3"/>
          </w:tcPr>
          <w:p>
            <w:pPr>
              <w:keepLines/>
              <w:spacing w:after="0"/>
            </w:pPr>
            <w:r/>
            <w:r>
              <w:rPr>
                <w:rFonts w:ascii="Times New Roman" w:hAnsi="Times New Roman"/>
                <w:sz w:val="17"/>
              </w:rPr>
              <w:t>Summe</w:t>
            </w:r>
          </w:p>
        </w:tc>
        <w:tc>
          <w:tcPr>
            <w:tcW w:type="dxa" w:w="1706"/>
            <w:vAlign w:val="top"/>
            <w:tcMar>
              <w:top w:w="60" w:type="dxa"/>
              <w:start w:w="90" w:type="dxa"/>
              <w:bottom w:w="60" w:type="dxa"/>
              <w:end w:w="90" w:type="dxa"/>
            </w:tcMar>
            <w:shd w:fill="F1F3F3"/>
          </w:tcPr>
          <w:p>
            <w:pPr>
              <w:keepLines/>
              <w:spacing w:after="0"/>
            </w:pPr>
            <w:r/>
            <w:r>
              <w:rPr>
                <w:rFonts w:ascii="Times New Roman" w:hAnsi="Times New Roman"/>
                <w:sz w:val="17"/>
              </w:rPr>
              <w:t>52</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52</w:t>
            </w:r>
          </w:p>
        </w:tc>
        <w:tc>
          <w:tcPr>
            <w:tcW w:type="dxa" w:w="1501"/>
            <w:vAlign w:val="top"/>
            <w:tcMar>
              <w:top w:w="60" w:type="dxa"/>
              <w:start w:w="90" w:type="dxa"/>
              <w:bottom w:w="60" w:type="dxa"/>
              <w:end w:w="90" w:type="dxa"/>
            </w:tcMar>
            <w:shd w:fill="F1F3F3"/>
          </w:tcPr>
          <w:p>
            <w:pPr>
              <w:keepLines/>
              <w:spacing w:after="0"/>
            </w:pPr>
            <w:r/>
            <w:r>
              <w:rPr>
                <w:rFonts w:ascii="Times New Roman" w:hAnsi="Times New Roman"/>
                <w:sz w:val="17"/>
              </w:rPr>
              <w:t>49</w:t>
            </w:r>
          </w:p>
        </w:tc>
        <w:tc>
          <w:tcPr>
            <w:tcW w:type="dxa" w:w="2458"/>
            <w:vAlign w:val="top"/>
            <w:tcMar>
              <w:top w:w="60" w:type="dxa"/>
              <w:start w:w="90" w:type="dxa"/>
              <w:bottom w:w="60" w:type="dxa"/>
              <w:end w:w="90" w:type="dxa"/>
            </w:tcMar>
            <w:shd w:fill="F1F3F3"/>
          </w:tcPr>
          <w:p>
            <w:pPr>
              <w:keepLines/>
              <w:spacing w:after="0"/>
            </w:pPr>
            <w:r/>
            <w:r>
              <w:rPr>
                <w:rFonts w:ascii="Times New Roman" w:hAnsi="Times New Roman"/>
                <w:sz w:val="17"/>
              </w:rPr>
              <w:t>drei Ersatzbesetzungen geprüft</w:t>
            </w:r>
          </w:p>
        </w:tc>
      </w:tr>
    </w:tbl>
    <w:p>
      <w:pPr>
        <w:spacing w:after="0" w:before="40"/>
      </w:pPr>
    </w:p>
    <w:p>
      <w:r>
        <w:t>Die Ersatzkräfte waren bereits vor Insolvenzeröffnung bei der Veräußerin beschäftigt, jedoch anderen Kunden zugeordnet. Lebensläufe, Zertifikate, Verfügbarkeitserklärungen und das Ergebnis der Zuverlässigkeitsprüfung sind in Anlagen C-4 bis C-11 enthalten.</w:t>
      </w:r>
    </w:p>
    <w:p>
      <w:pPr>
        <w:pStyle w:val="Heading1"/>
      </w:pPr>
      <w:r>
        <w:t>3. Betriebsmittel und Zugänge</w:t>
      </w:r>
    </w:p>
    <w:tbl>
      <w:tblPr>
        <w:tblStyle w:val="TableGrid"/>
        <w:tblW w:type="dxa" w:w="9071"/>
        <w:jc w:val="left"/>
        <w:tblLayout w:type="fixed"/>
        <w:tblLook w:firstColumn="1" w:firstRow="1" w:lastColumn="0" w:lastRow="0" w:noHBand="0" w:noVBand="1" w:val="04A0"/>
      </w:tblPr>
      <w:tblGrid>
        <w:gridCol w:w="2047"/>
        <w:gridCol w:w="2101"/>
        <w:gridCol w:w="2094"/>
        <w:gridCol w:w="2829"/>
      </w:tblGrid>
      <w:tr>
        <w:trPr>
          <w:tblHeader w:val="true"/>
          <w:cantSplit/>
        </w:trPr>
        <w:tc>
          <w:tcPr>
            <w:tcW w:type="dxa" w:w="2047"/>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Gegenstand</w:t>
            </w:r>
          </w:p>
        </w:tc>
        <w:tc>
          <w:tcPr>
            <w:tcW w:type="dxa" w:w="2101"/>
            <w:vAlign w:val="top"/>
            <w:tcMar>
              <w:top w:w="60" w:type="dxa"/>
              <w:start w:w="90" w:type="dxa"/>
              <w:bottom w:w="60" w:type="dxa"/>
              <w:end w:w="90" w:type="dxa"/>
            </w:tcMar>
            <w:shd w:fill="01696F"/>
          </w:tcPr>
          <w:p>
            <w:pPr>
              <w:keepLines/>
              <w:spacing w:after="0"/>
            </w:pPr>
            <w:r/>
            <w:r>
              <w:rPr>
                <w:rFonts w:ascii="Times New Roman" w:hAnsi="Times New Roman"/>
                <w:b/>
                <w:color w:val="FFFFFF"/>
                <w:sz w:val="17"/>
              </w:rPr>
              <w:t>Identifikation</w:t>
            </w:r>
          </w:p>
        </w:tc>
        <w:tc>
          <w:tcPr>
            <w:tcW w:type="dxa" w:w="2094"/>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Übergabestatus</w:t>
            </w:r>
          </w:p>
        </w:tc>
        <w:tc>
          <w:tcPr>
            <w:tcW w:type="dxa" w:w="28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Abweichung und Maßnahme</w:t>
            </w:r>
          </w:p>
        </w:tc>
      </w:tr>
      <w:tr>
        <w:trPr>
          <w:cantSplit/>
        </w:trPr>
        <w:tc>
          <w:tcPr>
            <w:tcW w:type="dxa" w:w="2047"/>
            <w:vAlign w:val="top"/>
            <w:tcMar>
              <w:top w:w="60" w:type="dxa"/>
              <w:start w:w="90" w:type="dxa"/>
              <w:bottom w:w="60" w:type="dxa"/>
              <w:end w:w="90" w:type="dxa"/>
            </w:tcMar>
          </w:tcPr>
          <w:p>
            <w:pPr>
              <w:keepLines/>
              <w:spacing w:after="0"/>
            </w:pPr>
            <w:r/>
            <w:r>
              <w:rPr>
                <w:rFonts w:ascii="Times New Roman" w:hAnsi="Times New Roman"/>
                <w:sz w:val="17"/>
              </w:rPr>
              <w:t>Ticketsystem</w:t>
            </w:r>
          </w:p>
        </w:tc>
        <w:tc>
          <w:tcPr>
            <w:tcW w:type="dxa" w:w="2101"/>
            <w:vAlign w:val="top"/>
            <w:tcMar>
              <w:top w:w="60" w:type="dxa"/>
              <w:start w:w="90" w:type="dxa"/>
              <w:bottom w:w="60" w:type="dxa"/>
              <w:end w:w="90" w:type="dxa"/>
            </w:tcMar>
          </w:tcPr>
          <w:p>
            <w:pPr>
              <w:keepLines/>
              <w:spacing w:after="0"/>
            </w:pPr>
            <w:r/>
            <w:r>
              <w:rPr>
                <w:rFonts w:ascii="Times New Roman" w:hAnsi="Times New Roman"/>
                <w:sz w:val="17"/>
              </w:rPr>
              <w:t>Mandant HB-001, Datenstand 15.12.2026</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vollständiger Export und Schreibzugriff</w:t>
            </w:r>
          </w:p>
        </w:tc>
        <w:tc>
          <w:tcPr>
            <w:tcW w:type="dxa" w:w="2829"/>
            <w:vAlign w:val="top"/>
            <w:tcMar>
              <w:top w:w="60" w:type="dxa"/>
              <w:start w:w="90" w:type="dxa"/>
              <w:bottom w:w="60" w:type="dxa"/>
              <w:end w:w="90" w:type="dxa"/>
            </w:tcMar>
          </w:tcPr>
          <w:p>
            <w:pPr>
              <w:keepLines/>
              <w:spacing w:after="0"/>
            </w:pPr>
            <w:r/>
            <w:r>
              <w:rPr>
                <w:rFonts w:ascii="Times New Roman" w:hAnsi="Times New Roman"/>
                <w:sz w:val="17"/>
              </w:rPr>
              <w:t>Protokollanhänge vor 2024 nur im Archiv; Lesetest bestanden</w:t>
            </w:r>
          </w:p>
        </w:tc>
      </w:tr>
      <w:tr>
        <w:trPr>
          <w:cantSplit/>
        </w:trPr>
        <w:tc>
          <w:tcPr>
            <w:tcW w:type="dxa" w:w="2047"/>
            <w:vAlign w:val="top"/>
            <w:tcMar>
              <w:top w:w="60" w:type="dxa"/>
              <w:start w:w="90" w:type="dxa"/>
              <w:bottom w:w="60" w:type="dxa"/>
              <w:end w:w="90" w:type="dxa"/>
            </w:tcMar>
            <w:shd w:fill="F1F3F3"/>
          </w:tcPr>
          <w:p>
            <w:pPr>
              <w:keepLines/>
              <w:spacing w:after="0"/>
            </w:pPr>
            <w:r/>
            <w:r>
              <w:rPr>
                <w:rFonts w:ascii="Times New Roman" w:hAnsi="Times New Roman"/>
                <w:sz w:val="17"/>
              </w:rPr>
              <w:t>Monitoring</w:t>
            </w:r>
          </w:p>
        </w:tc>
        <w:tc>
          <w:tcPr>
            <w:tcW w:type="dxa" w:w="2101"/>
            <w:vAlign w:val="top"/>
            <w:tcMar>
              <w:top w:w="60" w:type="dxa"/>
              <w:start w:w="90" w:type="dxa"/>
              <w:bottom w:w="60" w:type="dxa"/>
              <w:end w:w="90" w:type="dxa"/>
            </w:tcMar>
            <w:shd w:fill="F1F3F3"/>
          </w:tcPr>
          <w:p>
            <w:pPr>
              <w:keepLines/>
              <w:spacing w:after="0"/>
            </w:pPr>
            <w:r/>
            <w:r>
              <w:rPr>
                <w:rFonts w:ascii="Times New Roman" w:hAnsi="Times New Roman"/>
                <w:sz w:val="17"/>
              </w:rPr>
              <w:t>612 aktive Checks</w:t>
            </w:r>
          </w:p>
        </w:tc>
        <w:tc>
          <w:tcPr>
            <w:tcW w:type="dxa" w:w="2094"/>
            <w:vAlign w:val="top"/>
            <w:tcMar>
              <w:top w:w="60" w:type="dxa"/>
              <w:start w:w="90" w:type="dxa"/>
              <w:bottom w:w="60" w:type="dxa"/>
              <w:end w:w="90" w:type="dxa"/>
            </w:tcMar>
            <w:shd w:fill="F1F3F3"/>
          </w:tcPr>
          <w:p>
            <w:pPr>
              <w:keepLines/>
              <w:spacing w:after="0"/>
            </w:pPr>
            <w:r/>
            <w:r>
              <w:rPr>
                <w:rFonts w:ascii="Times New Roman" w:hAnsi="Times New Roman"/>
                <w:sz w:val="17"/>
              </w:rPr>
              <w:t>609 grün, 3 in Wartung</w:t>
            </w:r>
          </w:p>
        </w:tc>
        <w:tc>
          <w:tcPr>
            <w:tcW w:type="dxa" w:w="2829"/>
            <w:vAlign w:val="top"/>
            <w:tcMar>
              <w:top w:w="60" w:type="dxa"/>
              <w:start w:w="90" w:type="dxa"/>
              <w:bottom w:w="60" w:type="dxa"/>
              <w:end w:w="90" w:type="dxa"/>
            </w:tcMar>
            <w:shd w:fill="F1F3F3"/>
          </w:tcPr>
          <w:p>
            <w:pPr>
              <w:keepLines/>
              <w:spacing w:after="0"/>
            </w:pPr>
            <w:r/>
            <w:r>
              <w:rPr>
                <w:rFonts w:ascii="Times New Roman" w:hAnsi="Times New Roman"/>
                <w:sz w:val="17"/>
              </w:rPr>
              <w:t>Wartungen bereits vor Closing angeordnet</w:t>
            </w:r>
          </w:p>
        </w:tc>
      </w:tr>
      <w:tr>
        <w:trPr>
          <w:cantSplit/>
        </w:trPr>
        <w:tc>
          <w:tcPr>
            <w:tcW w:type="dxa" w:w="2047"/>
            <w:vAlign w:val="top"/>
            <w:tcMar>
              <w:top w:w="60" w:type="dxa"/>
              <w:start w:w="90" w:type="dxa"/>
              <w:bottom w:w="60" w:type="dxa"/>
              <w:end w:w="90" w:type="dxa"/>
            </w:tcMar>
          </w:tcPr>
          <w:p>
            <w:pPr>
              <w:keepLines/>
              <w:spacing w:after="0"/>
            </w:pPr>
            <w:r/>
            <w:r>
              <w:rPr>
                <w:rFonts w:ascii="Times New Roman" w:hAnsi="Times New Roman"/>
                <w:sz w:val="17"/>
              </w:rPr>
              <w:t>Ersatzteillager</w:t>
            </w:r>
          </w:p>
        </w:tc>
        <w:tc>
          <w:tcPr>
            <w:tcW w:type="dxa" w:w="2101"/>
            <w:vAlign w:val="top"/>
            <w:tcMar>
              <w:top w:w="60" w:type="dxa"/>
              <w:start w:w="90" w:type="dxa"/>
              <w:bottom w:w="60" w:type="dxa"/>
              <w:end w:w="90" w:type="dxa"/>
            </w:tcMar>
          </w:tcPr>
          <w:p>
            <w:pPr>
              <w:keepLines/>
              <w:spacing w:after="0"/>
            </w:pPr>
            <w:r/>
            <w:r>
              <w:rPr>
                <w:rFonts w:ascii="Times New Roman" w:hAnsi="Times New Roman"/>
                <w:sz w:val="17"/>
              </w:rPr>
              <w:t>347 inventarisierte Teile</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344 übernommen</w:t>
            </w:r>
          </w:p>
        </w:tc>
        <w:tc>
          <w:tcPr>
            <w:tcW w:type="dxa" w:w="2829"/>
            <w:vAlign w:val="top"/>
            <w:tcMar>
              <w:top w:w="60" w:type="dxa"/>
              <w:start w:w="90" w:type="dxa"/>
              <w:bottom w:w="60" w:type="dxa"/>
              <w:end w:w="90" w:type="dxa"/>
            </w:tcMar>
          </w:tcPr>
          <w:p>
            <w:pPr>
              <w:keepLines/>
              <w:spacing w:after="0"/>
            </w:pPr>
            <w:r/>
            <w:r>
              <w:rPr>
                <w:rFonts w:ascii="Times New Roman" w:hAnsi="Times New Roman"/>
                <w:sz w:val="17"/>
              </w:rPr>
              <w:t>drei defekte Netzteile ausgesondert und ersetzt</w:t>
            </w:r>
          </w:p>
        </w:tc>
      </w:tr>
      <w:tr>
        <w:trPr>
          <w:cantSplit/>
        </w:trPr>
        <w:tc>
          <w:tcPr>
            <w:tcW w:type="dxa" w:w="2047"/>
            <w:vAlign w:val="top"/>
            <w:tcMar>
              <w:top w:w="60" w:type="dxa"/>
              <w:start w:w="90" w:type="dxa"/>
              <w:bottom w:w="60" w:type="dxa"/>
              <w:end w:w="90" w:type="dxa"/>
            </w:tcMar>
            <w:shd w:fill="F1F3F3"/>
          </w:tcPr>
          <w:p>
            <w:pPr>
              <w:keepLines/>
              <w:spacing w:after="0"/>
            </w:pPr>
            <w:r/>
            <w:r>
              <w:rPr>
                <w:rFonts w:ascii="Times New Roman" w:hAnsi="Times New Roman"/>
                <w:sz w:val="17"/>
              </w:rPr>
              <w:t>mobile Einsatzgeräte</w:t>
            </w:r>
          </w:p>
        </w:tc>
        <w:tc>
          <w:tcPr>
            <w:tcW w:type="dxa" w:w="2101"/>
            <w:vAlign w:val="top"/>
            <w:tcMar>
              <w:top w:w="60" w:type="dxa"/>
              <w:start w:w="90" w:type="dxa"/>
              <w:bottom w:w="60" w:type="dxa"/>
              <w:end w:w="90" w:type="dxa"/>
            </w:tcMar>
            <w:shd w:fill="F1F3F3"/>
          </w:tcPr>
          <w:p>
            <w:pPr>
              <w:keepLines/>
              <w:spacing w:after="0"/>
            </w:pPr>
            <w:r/>
            <w:r>
              <w:rPr>
                <w:rFonts w:ascii="Times New Roman" w:hAnsi="Times New Roman"/>
                <w:sz w:val="17"/>
              </w:rPr>
              <w:t>26 Notebooks, 18 Tablets</w:t>
            </w:r>
          </w:p>
        </w:tc>
        <w:tc>
          <w:tcPr>
            <w:tcW w:type="dxa" w:w="2094"/>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c>
          <w:tcPr>
            <w:tcW w:type="dxa" w:w="2829"/>
            <w:vAlign w:val="top"/>
            <w:tcMar>
              <w:top w:w="60" w:type="dxa"/>
              <w:start w:w="90" w:type="dxa"/>
              <w:bottom w:w="60" w:type="dxa"/>
              <w:end w:w="90" w:type="dxa"/>
            </w:tcMar>
            <w:shd w:fill="F1F3F3"/>
          </w:tcPr>
          <w:p>
            <w:pPr>
              <w:keepLines/>
              <w:spacing w:after="0"/>
            </w:pPr>
            <w:r/>
            <w:r>
              <w:rPr>
                <w:rFonts w:ascii="Times New Roman" w:hAnsi="Times New Roman"/>
                <w:sz w:val="17"/>
              </w:rPr>
              <w:t>Schlüsselrotation am 16.12.2026 erfolgt</w:t>
            </w:r>
          </w:p>
        </w:tc>
      </w:tr>
      <w:tr>
        <w:trPr>
          <w:cantSplit/>
        </w:trPr>
        <w:tc>
          <w:tcPr>
            <w:tcW w:type="dxa" w:w="2047"/>
            <w:vAlign w:val="top"/>
            <w:tcMar>
              <w:top w:w="60" w:type="dxa"/>
              <w:start w:w="90" w:type="dxa"/>
              <w:bottom w:w="60" w:type="dxa"/>
              <w:end w:w="90" w:type="dxa"/>
            </w:tcMar>
          </w:tcPr>
          <w:p>
            <w:pPr>
              <w:keepLines/>
              <w:spacing w:after="0"/>
            </w:pPr>
            <w:r/>
            <w:r>
              <w:rPr>
                <w:rFonts w:ascii="Times New Roman" w:hAnsi="Times New Roman"/>
                <w:sz w:val="17"/>
              </w:rPr>
              <w:t>Betriebsdokumentation</w:t>
            </w:r>
          </w:p>
        </w:tc>
        <w:tc>
          <w:tcPr>
            <w:tcW w:type="dxa" w:w="2101"/>
            <w:vAlign w:val="top"/>
            <w:tcMar>
              <w:top w:w="60" w:type="dxa"/>
              <w:start w:w="90" w:type="dxa"/>
              <w:bottom w:w="60" w:type="dxa"/>
              <w:end w:w="90" w:type="dxa"/>
            </w:tcMar>
          </w:tcPr>
          <w:p>
            <w:pPr>
              <w:keepLines/>
              <w:spacing w:after="0"/>
            </w:pPr>
            <w:r/>
            <w:r>
              <w:rPr>
                <w:rFonts w:ascii="Times New Roman" w:hAnsi="Times New Roman"/>
                <w:sz w:val="17"/>
              </w:rPr>
              <w:t>184 freigegebene Runbooks</w:t>
            </w:r>
          </w:p>
        </w:tc>
        <w:tc>
          <w:tcPr>
            <w:tcW w:type="dxa" w:w="2094"/>
            <w:vAlign w:val="top"/>
            <w:tcMar>
              <w:top w:w="60" w:type="dxa"/>
              <w:start w:w="90" w:type="dxa"/>
              <w:bottom w:w="60" w:type="dxa"/>
              <w:end w:w="90" w:type="dxa"/>
            </w:tcMar>
          </w:tcPr>
          <w:p>
            <w:pPr>
              <w:keepLines/>
              <w:spacing w:after="0"/>
            </w:pPr>
            <w:r/>
            <w:r>
              <w:rPr>
                <w:rFonts w:ascii="Times New Roman" w:hAnsi="Times New Roman"/>
                <w:sz w:val="17"/>
              </w:rPr>
              <w:t>182 übertragen</w:t>
            </w:r>
          </w:p>
        </w:tc>
        <w:tc>
          <w:tcPr>
            <w:tcW w:type="dxa" w:w="2829"/>
            <w:vAlign w:val="top"/>
            <w:tcMar>
              <w:top w:w="60" w:type="dxa"/>
              <w:start w:w="90" w:type="dxa"/>
              <w:bottom w:w="60" w:type="dxa"/>
              <w:end w:w="90" w:type="dxa"/>
            </w:tcMar>
          </w:tcPr>
          <w:p>
            <w:pPr>
              <w:keepLines/>
              <w:spacing w:after="0"/>
            </w:pPr>
            <w:r/>
            <w:r>
              <w:rPr>
                <w:rFonts w:ascii="Times New Roman" w:hAnsi="Times New Roman"/>
                <w:sz w:val="17"/>
              </w:rPr>
              <w:t>zwei Runbooks enthielten fremde Kundendaten; bereinigte Fassungen freigegeben</w:t>
            </w:r>
          </w:p>
        </w:tc>
      </w:tr>
    </w:tbl>
    <w:p>
      <w:pPr>
        <w:spacing w:after="0" w:before="40"/>
      </w:pPr>
    </w:p>
    <w:p>
      <w:pPr>
        <w:pStyle w:val="Heading1"/>
      </w:pPr>
      <w:r>
        <w:t>4. Softwarelizenzen und Drittverträge</w:t>
      </w:r>
    </w:p>
    <w:tbl>
      <w:tblPr>
        <w:tblStyle w:val="TableGrid"/>
        <w:tblW w:type="dxa" w:w="9071"/>
        <w:jc w:val="left"/>
        <w:tblLayout w:type="fixed"/>
        <w:tblLook w:firstColumn="1" w:firstRow="1" w:lastColumn="0" w:lastRow="0" w:noHBand="0" w:noVBand="1" w:val="04A0"/>
      </w:tblPr>
      <w:tblGrid>
        <w:gridCol w:w="2137"/>
        <w:gridCol w:w="2764"/>
        <w:gridCol w:w="2097"/>
        <w:gridCol w:w="2073"/>
      </w:tblGrid>
      <w:tr>
        <w:trPr>
          <w:tblHeader w:val="true"/>
          <w:cantSplit/>
        </w:trPr>
        <w:tc>
          <w:tcPr>
            <w:tcW w:type="dxa" w:w="2137"/>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Vertrag oder Recht</w:t>
            </w:r>
          </w:p>
        </w:tc>
        <w:tc>
          <w:tcPr>
            <w:tcW w:type="dxa" w:w="2764"/>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Übertragbarkeit</w:t>
            </w:r>
          </w:p>
        </w:tc>
        <w:tc>
          <w:tcPr>
            <w:tcW w:type="dxa" w:w="20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Zustimmung</w:t>
            </w:r>
          </w:p>
        </w:tc>
        <w:tc>
          <w:tcPr>
            <w:tcW w:type="dxa" w:w="20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Risiko</w:t>
            </w:r>
          </w:p>
        </w:tc>
      </w:tr>
      <w:tr>
        <w:trPr>
          <w:cantSplit/>
        </w:trPr>
        <w:tc>
          <w:tcPr>
            <w:tcW w:type="dxa" w:w="2137"/>
            <w:vAlign w:val="top"/>
            <w:tcMar>
              <w:top w:w="60" w:type="dxa"/>
              <w:start w:w="90" w:type="dxa"/>
              <w:bottom w:w="60" w:type="dxa"/>
              <w:end w:w="90" w:type="dxa"/>
            </w:tcMar>
          </w:tcPr>
          <w:p>
            <w:pPr>
              <w:keepLines/>
              <w:spacing w:after="0"/>
            </w:pPr>
            <w:r/>
            <w:r>
              <w:rPr>
                <w:rFonts w:ascii="Times New Roman" w:hAnsi="Times New Roman"/>
                <w:sz w:val="17"/>
              </w:rPr>
              <w:t>Datenbankwartung DB-Pro</w:t>
            </w:r>
          </w:p>
        </w:tc>
        <w:tc>
          <w:tcPr>
            <w:tcW w:type="dxa" w:w="2764"/>
            <w:vAlign w:val="top"/>
            <w:tcMar>
              <w:top w:w="60" w:type="dxa"/>
              <w:start w:w="90" w:type="dxa"/>
              <w:bottom w:w="60" w:type="dxa"/>
              <w:end w:w="90" w:type="dxa"/>
            </w:tcMar>
          </w:tcPr>
          <w:p>
            <w:pPr>
              <w:keepLines/>
              <w:spacing w:after="0"/>
            </w:pPr>
            <w:r/>
            <w:r>
              <w:rPr>
                <w:rFonts w:ascii="Times New Roman" w:hAnsi="Times New Roman"/>
                <w:sz w:val="17"/>
              </w:rPr>
              <w:t>Change-of-Control-Zustimmung erforderlich</w:t>
            </w:r>
          </w:p>
        </w:tc>
        <w:tc>
          <w:tcPr>
            <w:tcW w:type="dxa" w:w="2097"/>
            <w:vAlign w:val="top"/>
            <w:tcMar>
              <w:top w:w="60" w:type="dxa"/>
              <w:start w:w="90" w:type="dxa"/>
              <w:bottom w:w="60" w:type="dxa"/>
              <w:end w:w="90" w:type="dxa"/>
            </w:tcMar>
          </w:tcPr>
          <w:p>
            <w:pPr>
              <w:keepLines/>
              <w:spacing w:after="0"/>
            </w:pPr>
            <w:r/>
            <w:r>
              <w:rPr>
                <w:rFonts w:ascii="Times New Roman" w:hAnsi="Times New Roman"/>
                <w:sz w:val="17"/>
              </w:rPr>
              <w:t>Zustimmung am 14.12.2026 erteilt</w:t>
            </w:r>
          </w:p>
        </w:tc>
        <w:tc>
          <w:tcPr>
            <w:tcW w:type="dxa" w:w="2073"/>
            <w:vAlign w:val="top"/>
            <w:tcMar>
              <w:top w:w="60" w:type="dxa"/>
              <w:start w:w="90" w:type="dxa"/>
              <w:bottom w:w="60" w:type="dxa"/>
              <w:end w:w="90" w:type="dxa"/>
            </w:tcMar>
          </w:tcPr>
          <w:p>
            <w:pPr>
              <w:keepLines/>
              <w:spacing w:after="0"/>
            </w:pPr>
            <w:r/>
            <w:r>
              <w:rPr>
                <w:rFonts w:ascii="Times New Roman" w:hAnsi="Times New Roman"/>
                <w:sz w:val="17"/>
              </w:rPr>
              <w:t>kein offener Vorbehalt</w:t>
            </w:r>
          </w:p>
        </w:tc>
      </w:tr>
      <w:tr>
        <w:trPr>
          <w:cantSplit/>
        </w:trPr>
        <w:tc>
          <w:tcPr>
            <w:tcW w:type="dxa" w:w="2137"/>
            <w:vAlign w:val="top"/>
            <w:tcMar>
              <w:top w:w="60" w:type="dxa"/>
              <w:start w:w="90" w:type="dxa"/>
              <w:bottom w:w="60" w:type="dxa"/>
              <w:end w:w="90" w:type="dxa"/>
            </w:tcMar>
            <w:shd w:fill="F1F3F3"/>
          </w:tcPr>
          <w:p>
            <w:pPr>
              <w:keepLines/>
              <w:spacing w:after="0"/>
            </w:pPr>
            <w:r/>
            <w:r>
              <w:rPr>
                <w:rFonts w:ascii="Times New Roman" w:hAnsi="Times New Roman"/>
                <w:sz w:val="17"/>
              </w:rPr>
              <w:t>Remote-Support SecureLink</w:t>
            </w:r>
          </w:p>
        </w:tc>
        <w:tc>
          <w:tcPr>
            <w:tcW w:type="dxa" w:w="2764"/>
            <w:vAlign w:val="top"/>
            <w:tcMar>
              <w:top w:w="60" w:type="dxa"/>
              <w:start w:w="90" w:type="dxa"/>
              <w:bottom w:w="60" w:type="dxa"/>
              <w:end w:w="90" w:type="dxa"/>
            </w:tcMar>
            <w:shd w:fill="F1F3F3"/>
          </w:tcPr>
          <w:p>
            <w:pPr>
              <w:keepLines/>
              <w:spacing w:after="0"/>
            </w:pPr>
            <w:r/>
            <w:r>
              <w:rPr>
                <w:rFonts w:ascii="Times New Roman" w:hAnsi="Times New Roman"/>
                <w:sz w:val="17"/>
              </w:rPr>
              <w:t>Vertragsübernahme zulässig</w:t>
            </w:r>
          </w:p>
        </w:tc>
        <w:tc>
          <w:tcPr>
            <w:tcW w:type="dxa" w:w="2097"/>
            <w:vAlign w:val="top"/>
            <w:tcMar>
              <w:top w:w="60" w:type="dxa"/>
              <w:start w:w="90" w:type="dxa"/>
              <w:bottom w:w="60" w:type="dxa"/>
              <w:end w:w="90" w:type="dxa"/>
            </w:tcMar>
            <w:shd w:fill="F1F3F3"/>
          </w:tcPr>
          <w:p>
            <w:pPr>
              <w:keepLines/>
              <w:spacing w:after="0"/>
            </w:pPr>
            <w:r/>
            <w:r>
              <w:rPr>
                <w:rFonts w:ascii="Times New Roman" w:hAnsi="Times New Roman"/>
                <w:sz w:val="17"/>
              </w:rPr>
              <w:t>Gegenzeichnung am 15.12.2026</w:t>
            </w:r>
          </w:p>
        </w:tc>
        <w:tc>
          <w:tcPr>
            <w:tcW w:type="dxa" w:w="2073"/>
            <w:vAlign w:val="top"/>
            <w:tcMar>
              <w:top w:w="60" w:type="dxa"/>
              <w:start w:w="90" w:type="dxa"/>
              <w:bottom w:w="60" w:type="dxa"/>
              <w:end w:w="90" w:type="dxa"/>
            </w:tcMar>
            <w:shd w:fill="F1F3F3"/>
          </w:tcPr>
          <w:p>
            <w:pPr>
              <w:keepLines/>
              <w:spacing w:after="0"/>
            </w:pPr>
            <w:r/>
            <w:r>
              <w:rPr>
                <w:rFonts w:ascii="Times New Roman" w:hAnsi="Times New Roman"/>
                <w:sz w:val="17"/>
              </w:rPr>
              <w:t>Preis bis Laufzeitende unverändert</w:t>
            </w:r>
          </w:p>
        </w:tc>
      </w:tr>
      <w:tr>
        <w:trPr>
          <w:cantSplit/>
        </w:trPr>
        <w:tc>
          <w:tcPr>
            <w:tcW w:type="dxa" w:w="2137"/>
            <w:vAlign w:val="top"/>
            <w:tcMar>
              <w:top w:w="60" w:type="dxa"/>
              <w:start w:w="90" w:type="dxa"/>
              <w:bottom w:w="60" w:type="dxa"/>
              <w:end w:w="90" w:type="dxa"/>
            </w:tcMar>
          </w:tcPr>
          <w:p>
            <w:pPr>
              <w:keepLines/>
              <w:spacing w:after="0"/>
            </w:pPr>
            <w:r/>
            <w:r>
              <w:rPr>
                <w:rFonts w:ascii="Times New Roman" w:hAnsi="Times New Roman"/>
                <w:sz w:val="17"/>
              </w:rPr>
              <w:t>Herstellerwartung Fachverfahren Alpha</w:t>
            </w:r>
          </w:p>
        </w:tc>
        <w:tc>
          <w:tcPr>
            <w:tcW w:type="dxa" w:w="2764"/>
            <w:vAlign w:val="top"/>
            <w:tcMar>
              <w:top w:w="60" w:type="dxa"/>
              <w:start w:w="90" w:type="dxa"/>
              <w:bottom w:w="60" w:type="dxa"/>
              <w:end w:w="90" w:type="dxa"/>
            </w:tcMar>
          </w:tcPr>
          <w:p>
            <w:pPr>
              <w:keepLines/>
              <w:spacing w:after="0"/>
            </w:pPr>
            <w:r/>
            <w:r>
              <w:rPr>
                <w:rFonts w:ascii="Times New Roman" w:hAnsi="Times New Roman"/>
                <w:sz w:val="17"/>
              </w:rPr>
              <w:t>personenbezogene Partnerzertifizierung</w:t>
            </w:r>
          </w:p>
        </w:tc>
        <w:tc>
          <w:tcPr>
            <w:tcW w:type="dxa" w:w="2097"/>
            <w:vAlign w:val="top"/>
            <w:tcMar>
              <w:top w:w="60" w:type="dxa"/>
              <w:start w:w="90" w:type="dxa"/>
              <w:bottom w:w="60" w:type="dxa"/>
              <w:end w:w="90" w:type="dxa"/>
            </w:tcMar>
          </w:tcPr>
          <w:p>
            <w:pPr>
              <w:keepLines/>
              <w:spacing w:after="0"/>
            </w:pPr>
            <w:r/>
            <w:r>
              <w:rPr>
                <w:rFonts w:ascii="Times New Roman" w:hAnsi="Times New Roman"/>
                <w:sz w:val="17"/>
              </w:rPr>
              <w:t>neue Partnernummer erteilt</w:t>
            </w:r>
          </w:p>
        </w:tc>
        <w:tc>
          <w:tcPr>
            <w:tcW w:type="dxa" w:w="2073"/>
            <w:vAlign w:val="top"/>
            <w:tcMar>
              <w:top w:w="60" w:type="dxa"/>
              <w:start w:w="90" w:type="dxa"/>
              <w:bottom w:w="60" w:type="dxa"/>
              <w:end w:w="90" w:type="dxa"/>
            </w:tcMar>
          </w:tcPr>
          <w:p>
            <w:pPr>
              <w:keepLines/>
              <w:spacing w:after="0"/>
            </w:pPr>
            <w:r/>
            <w:r>
              <w:rPr>
                <w:rFonts w:ascii="Times New Roman" w:hAnsi="Times New Roman"/>
                <w:sz w:val="17"/>
              </w:rPr>
              <w:t>Leistungsbeginn ohne Unterbrechung</w:t>
            </w:r>
          </w:p>
        </w:tc>
      </w:tr>
      <w:tr>
        <w:trPr>
          <w:cantSplit/>
        </w:trPr>
        <w:tc>
          <w:tcPr>
            <w:tcW w:type="dxa" w:w="2137"/>
            <w:vAlign w:val="top"/>
            <w:tcMar>
              <w:top w:w="60" w:type="dxa"/>
              <w:start w:w="90" w:type="dxa"/>
              <w:bottom w:w="60" w:type="dxa"/>
              <w:end w:w="90" w:type="dxa"/>
            </w:tcMar>
            <w:shd w:fill="F1F3F3"/>
          </w:tcPr>
          <w:p>
            <w:pPr>
              <w:keepLines/>
              <w:spacing w:after="0"/>
            </w:pPr>
            <w:r/>
            <w:r>
              <w:rPr>
                <w:rFonts w:ascii="Times New Roman" w:hAnsi="Times New Roman"/>
                <w:sz w:val="17"/>
              </w:rPr>
              <w:t>Rechenzentrumsrack R-17</w:t>
            </w:r>
          </w:p>
        </w:tc>
        <w:tc>
          <w:tcPr>
            <w:tcW w:type="dxa" w:w="2764"/>
            <w:vAlign w:val="top"/>
            <w:tcMar>
              <w:top w:w="60" w:type="dxa"/>
              <w:start w:w="90" w:type="dxa"/>
              <w:bottom w:w="60" w:type="dxa"/>
              <w:end w:w="90" w:type="dxa"/>
            </w:tcMar>
            <w:shd w:fill="F1F3F3"/>
          </w:tcPr>
          <w:p>
            <w:pPr>
              <w:keepLines/>
              <w:spacing w:after="0"/>
            </w:pPr>
            <w:r/>
            <w:r>
              <w:rPr>
                <w:rFonts w:ascii="Times New Roman" w:hAnsi="Times New Roman"/>
                <w:sz w:val="17"/>
              </w:rPr>
              <w:t>Untermietvertrag</w:t>
            </w:r>
          </w:p>
        </w:tc>
        <w:tc>
          <w:tcPr>
            <w:tcW w:type="dxa" w:w="2097"/>
            <w:vAlign w:val="top"/>
            <w:tcMar>
              <w:top w:w="60" w:type="dxa"/>
              <w:start w:w="90" w:type="dxa"/>
              <w:bottom w:w="60" w:type="dxa"/>
              <w:end w:w="90" w:type="dxa"/>
            </w:tcMar>
            <w:shd w:fill="F1F3F3"/>
          </w:tcPr>
          <w:p>
            <w:pPr>
              <w:keepLines/>
              <w:spacing w:after="0"/>
            </w:pPr>
            <w:r/>
            <w:r>
              <w:rPr>
                <w:rFonts w:ascii="Times New Roman" w:hAnsi="Times New Roman"/>
                <w:sz w:val="17"/>
              </w:rPr>
              <w:t>Vermieterzustimmung erteilt</w:t>
            </w:r>
          </w:p>
        </w:tc>
        <w:tc>
          <w:tcPr>
            <w:tcW w:type="dxa" w:w="2073"/>
            <w:vAlign w:val="top"/>
            <w:tcMar>
              <w:top w:w="60" w:type="dxa"/>
              <w:start w:w="90" w:type="dxa"/>
              <w:bottom w:w="60" w:type="dxa"/>
              <w:end w:w="90" w:type="dxa"/>
            </w:tcMar>
            <w:shd w:fill="F1F3F3"/>
          </w:tcPr>
          <w:p>
            <w:pPr>
              <w:keepLines/>
              <w:spacing w:after="0"/>
            </w:pPr>
            <w:r/>
            <w:r>
              <w:rPr>
                <w:rFonts w:ascii="Times New Roman" w:hAnsi="Times New Roman"/>
                <w:sz w:val="17"/>
              </w:rPr>
              <w:t>Kündigungsfrist unverändert</w:t>
            </w:r>
          </w:p>
        </w:tc>
      </w:tr>
      <w:tr>
        <w:trPr>
          <w:cantSplit/>
        </w:trPr>
        <w:tc>
          <w:tcPr>
            <w:tcW w:type="dxa" w:w="2137"/>
            <w:vAlign w:val="top"/>
            <w:tcMar>
              <w:top w:w="60" w:type="dxa"/>
              <w:start w:w="90" w:type="dxa"/>
              <w:bottom w:w="60" w:type="dxa"/>
              <w:end w:w="90" w:type="dxa"/>
            </w:tcMar>
          </w:tcPr>
          <w:p>
            <w:pPr>
              <w:keepLines/>
              <w:spacing w:after="0"/>
            </w:pPr>
            <w:r/>
            <w:r>
              <w:rPr>
                <w:rFonts w:ascii="Times New Roman" w:hAnsi="Times New Roman"/>
                <w:sz w:val="17"/>
              </w:rPr>
              <w:t>Wissensdatenbank</w:t>
            </w:r>
          </w:p>
        </w:tc>
        <w:tc>
          <w:tcPr>
            <w:tcW w:type="dxa" w:w="2764"/>
            <w:vAlign w:val="top"/>
            <w:tcMar>
              <w:top w:w="60" w:type="dxa"/>
              <w:start w:w="90" w:type="dxa"/>
              <w:bottom w:w="60" w:type="dxa"/>
              <w:end w:w="90" w:type="dxa"/>
            </w:tcMar>
          </w:tcPr>
          <w:p>
            <w:pPr>
              <w:keepLines/>
              <w:spacing w:after="0"/>
            </w:pPr>
            <w:r/>
            <w:r>
              <w:rPr>
                <w:rFonts w:ascii="Times New Roman" w:hAnsi="Times New Roman"/>
                <w:sz w:val="17"/>
              </w:rPr>
              <w:t>Datenbankrecht und Dokumente im Asset Deal erfasst</w:t>
            </w:r>
          </w:p>
        </w:tc>
        <w:tc>
          <w:tcPr>
            <w:tcW w:type="dxa" w:w="2097"/>
            <w:vAlign w:val="top"/>
            <w:tcMar>
              <w:top w:w="60" w:type="dxa"/>
              <w:start w:w="90" w:type="dxa"/>
              <w:bottom w:w="60" w:type="dxa"/>
              <w:end w:w="90" w:type="dxa"/>
            </w:tcMar>
          </w:tcPr>
          <w:p>
            <w:pPr>
              <w:keepLines/>
              <w:spacing w:after="0"/>
            </w:pPr>
            <w:r/>
            <w:r>
              <w:rPr>
                <w:rFonts w:ascii="Times New Roman" w:hAnsi="Times New Roman"/>
                <w:sz w:val="17"/>
              </w:rPr>
              <w:t>übertragen</w:t>
            </w:r>
          </w:p>
        </w:tc>
        <w:tc>
          <w:tcPr>
            <w:tcW w:type="dxa" w:w="2073"/>
            <w:vAlign w:val="top"/>
            <w:tcMar>
              <w:top w:w="60" w:type="dxa"/>
              <w:start w:w="90" w:type="dxa"/>
              <w:bottom w:w="60" w:type="dxa"/>
              <w:end w:w="90" w:type="dxa"/>
            </w:tcMar>
          </w:tcPr>
          <w:p>
            <w:pPr>
              <w:keepLines/>
              <w:spacing w:after="0"/>
            </w:pPr>
            <w:r/>
            <w:r>
              <w:rPr>
                <w:rFonts w:ascii="Times New Roman" w:hAnsi="Times New Roman"/>
                <w:sz w:val="17"/>
              </w:rPr>
              <w:t>fremde Kundeneinträge vor Import entfernt</w:t>
            </w:r>
          </w:p>
        </w:tc>
      </w:tr>
    </w:tbl>
    <w:p>
      <w:pPr>
        <w:spacing w:after="0" w:before="40"/>
      </w:pPr>
    </w:p>
    <w:p>
      <w:r>
        <w:t>Die zunächst am 10.12.2026 offene Zustimmung zu DB-Pro war Vollzugsbedingung der städtischen Eintrittsfreigabe. Sie wurde nicht durch eine bloße Absichtserklärung ersetzt. Das Original der Zustimmung ist als Anlage L-3 beigefügt.</w:t>
      </w:r>
    </w:p>
    <w:p>
      <w:pPr>
        <w:pStyle w:val="Heading1"/>
        <w:keepNext/>
        <w:keepLines/>
      </w:pPr>
      <w:r>
        <w:t>5. Eignung und Sicherheiten</w:t>
      </w:r>
    </w:p>
    <w:tbl>
      <w:tblPr>
        <w:tblStyle w:val="TableGrid"/>
        <w:tblW w:type="dxa" w:w="9071"/>
        <w:jc w:val="left"/>
        <w:tblLayout w:type="fixed"/>
        <w:tblLook w:firstColumn="1" w:firstRow="1" w:lastColumn="0" w:lastRow="0" w:noHBand="0" w:noVBand="1" w:val="04A0"/>
      </w:tblPr>
      <w:tblGrid>
        <w:gridCol w:w="2488"/>
        <w:gridCol w:w="3255"/>
        <w:gridCol w:w="3328"/>
      </w:tblGrid>
      <w:tr>
        <w:trPr>
          <w:tblHeader w:val="true"/>
          <w:cantSplit/>
        </w:trPr>
        <w:tc>
          <w:tcPr>
            <w:tcW w:type="dxa" w:w="2488"/>
            <w:vAlign w:val="top"/>
            <w:tcMar>
              <w:top w:w="60" w:type="dxa"/>
              <w:start w:w="90" w:type="dxa"/>
              <w:bottom w:w="60" w:type="dxa"/>
              <w:end w:w="90" w:type="dxa"/>
            </w:tcMar>
            <w:shd w:fill="01696F"/>
          </w:tcPr>
          <w:p>
            <w:pPr>
              <w:keepLines/>
              <w:spacing w:after="0"/>
            </w:pPr>
            <w:r/>
            <w:r>
              <w:rPr>
                <w:rFonts w:ascii="Times New Roman" w:hAnsi="Times New Roman"/>
                <w:b/>
                <w:color w:val="FFFFFF"/>
                <w:sz w:val="17"/>
              </w:rPr>
              <w:t>ursprüngliche Anforderung</w:t>
            </w:r>
          </w:p>
        </w:tc>
        <w:tc>
          <w:tcPr>
            <w:tcW w:type="dxa" w:w="3255"/>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 Erwerberin</w:t>
            </w:r>
          </w:p>
        </w:tc>
        <w:tc>
          <w:tcPr>
            <w:tcW w:type="dxa" w:w="33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2488"/>
            <w:vAlign w:val="top"/>
            <w:tcMar>
              <w:top w:w="60" w:type="dxa"/>
              <w:start w:w="90" w:type="dxa"/>
              <w:bottom w:w="60" w:type="dxa"/>
              <w:end w:w="90" w:type="dxa"/>
            </w:tcMar>
          </w:tcPr>
          <w:p>
            <w:pPr>
              <w:keepLines/>
              <w:spacing w:after="0"/>
            </w:pPr>
            <w:r/>
            <w:r>
              <w:rPr>
                <w:rFonts w:ascii="Times New Roman" w:hAnsi="Times New Roman"/>
                <w:sz w:val="17"/>
              </w:rPr>
              <w:t>Betriebshaftpflicht 10 Millionen EUR</w:t>
            </w:r>
          </w:p>
        </w:tc>
        <w:tc>
          <w:tcPr>
            <w:tcW w:type="dxa" w:w="3255"/>
            <w:vAlign w:val="top"/>
            <w:tcMar>
              <w:top w:w="60" w:type="dxa"/>
              <w:start w:w="90" w:type="dxa"/>
              <w:bottom w:w="60" w:type="dxa"/>
              <w:end w:w="90" w:type="dxa"/>
            </w:tcMar>
          </w:tcPr>
          <w:p>
            <w:pPr>
              <w:keepLines/>
              <w:spacing w:after="0"/>
            </w:pPr>
            <w:r/>
            <w:r>
              <w:rPr>
                <w:rFonts w:ascii="Times New Roman" w:hAnsi="Times New Roman"/>
                <w:sz w:val="17"/>
              </w:rPr>
              <w:t>Police HBV-88271, Beginn 15.12.2026</w:t>
            </w:r>
          </w:p>
        </w:tc>
        <w:tc>
          <w:tcPr>
            <w:tcW w:type="dxa" w:w="3328"/>
            <w:vAlign w:val="top"/>
            <w:tcMar>
              <w:top w:w="60" w:type="dxa"/>
              <w:start w:w="90" w:type="dxa"/>
              <w:bottom w:w="60" w:type="dxa"/>
              <w:end w:w="90" w:type="dxa"/>
            </w:tcMar>
          </w:tcPr>
          <w:p>
            <w:pPr>
              <w:keepLines/>
              <w:spacing w:after="0"/>
            </w:pPr>
            <w:r/>
            <w:r>
              <w:rPr>
                <w:rFonts w:ascii="Times New Roman" w:hAnsi="Times New Roman"/>
                <w:sz w:val="17"/>
              </w:rPr>
              <w:t>Deckung bestätigt</w:t>
            </w:r>
          </w:p>
        </w:tc>
      </w:tr>
      <w:tr>
        <w:trPr>
          <w:cantSplit/>
        </w:trPr>
        <w:tc>
          <w:tcPr>
            <w:tcW w:type="dxa" w:w="2488"/>
            <w:vAlign w:val="top"/>
            <w:tcMar>
              <w:top w:w="60" w:type="dxa"/>
              <w:start w:w="90" w:type="dxa"/>
              <w:bottom w:w="60" w:type="dxa"/>
              <w:end w:w="90" w:type="dxa"/>
            </w:tcMar>
            <w:shd w:fill="F1F3F3"/>
          </w:tcPr>
          <w:p>
            <w:pPr>
              <w:keepLines/>
              <w:spacing w:after="0"/>
            </w:pPr>
            <w:r/>
            <w:r>
              <w:rPr>
                <w:rFonts w:ascii="Times New Roman" w:hAnsi="Times New Roman"/>
                <w:sz w:val="17"/>
              </w:rPr>
              <w:t>Berufshaftpflicht 5 Millionen EUR</w:t>
            </w:r>
          </w:p>
        </w:tc>
        <w:tc>
          <w:tcPr>
            <w:tcW w:type="dxa" w:w="3255"/>
            <w:vAlign w:val="top"/>
            <w:tcMar>
              <w:top w:w="60" w:type="dxa"/>
              <w:start w:w="90" w:type="dxa"/>
              <w:bottom w:w="60" w:type="dxa"/>
              <w:end w:w="90" w:type="dxa"/>
            </w:tcMar>
            <w:shd w:fill="F1F3F3"/>
          </w:tcPr>
          <w:p>
            <w:pPr>
              <w:keepLines/>
              <w:spacing w:after="0"/>
            </w:pPr>
            <w:r/>
            <w:r>
              <w:rPr>
                <w:rFonts w:ascii="Times New Roman" w:hAnsi="Times New Roman"/>
                <w:sz w:val="17"/>
              </w:rPr>
              <w:t>Police BHV-44109</w:t>
            </w:r>
          </w:p>
        </w:tc>
        <w:tc>
          <w:tcPr>
            <w:tcW w:type="dxa" w:w="3328"/>
            <w:vAlign w:val="top"/>
            <w:tcMar>
              <w:top w:w="60" w:type="dxa"/>
              <w:start w:w="90" w:type="dxa"/>
              <w:bottom w:w="60" w:type="dxa"/>
              <w:end w:w="90" w:type="dxa"/>
            </w:tcMar>
            <w:shd w:fill="F1F3F3"/>
          </w:tcPr>
          <w:p>
            <w:pPr>
              <w:keepLines/>
              <w:spacing w:after="0"/>
            </w:pPr>
            <w:r/>
            <w:r>
              <w:rPr>
                <w:rFonts w:ascii="Times New Roman" w:hAnsi="Times New Roman"/>
                <w:sz w:val="17"/>
              </w:rPr>
              <w:t>Deckung bestätigt</w:t>
            </w:r>
          </w:p>
        </w:tc>
      </w:tr>
      <w:tr>
        <w:trPr>
          <w:cantSplit/>
        </w:trPr>
        <w:tc>
          <w:tcPr>
            <w:tcW w:type="dxa" w:w="2488"/>
            <w:vAlign w:val="top"/>
            <w:tcMar>
              <w:top w:w="60" w:type="dxa"/>
              <w:start w:w="90" w:type="dxa"/>
              <w:bottom w:w="60" w:type="dxa"/>
              <w:end w:w="90" w:type="dxa"/>
            </w:tcMar>
          </w:tcPr>
          <w:p>
            <w:pPr>
              <w:keepLines/>
              <w:spacing w:after="0"/>
            </w:pPr>
            <w:r/>
            <w:r>
              <w:rPr>
                <w:rFonts w:ascii="Times New Roman" w:hAnsi="Times New Roman"/>
                <w:sz w:val="17"/>
              </w:rPr>
              <w:t>ISO 27001 oder gleichwertig</w:t>
            </w:r>
          </w:p>
        </w:tc>
        <w:tc>
          <w:tcPr>
            <w:tcW w:type="dxa" w:w="3255"/>
            <w:vAlign w:val="top"/>
            <w:tcMar>
              <w:top w:w="60" w:type="dxa"/>
              <w:start w:w="90" w:type="dxa"/>
              <w:bottom w:w="60" w:type="dxa"/>
              <w:end w:w="90" w:type="dxa"/>
            </w:tcMar>
          </w:tcPr>
          <w:p>
            <w:pPr>
              <w:keepLines/>
              <w:spacing w:after="0"/>
            </w:pPr>
            <w:r/>
            <w:r>
              <w:rPr>
                <w:rFonts w:ascii="Times New Roman" w:hAnsi="Times New Roman"/>
                <w:sz w:val="17"/>
              </w:rPr>
              <w:t>übertragener zertifizierter Standort, Nachtrag Zertifizierungsstelle</w:t>
            </w:r>
          </w:p>
        </w:tc>
        <w:tc>
          <w:tcPr>
            <w:tcW w:type="dxa" w:w="3328"/>
            <w:vAlign w:val="top"/>
            <w:tcMar>
              <w:top w:w="60" w:type="dxa"/>
              <w:start w:w="90" w:type="dxa"/>
              <w:bottom w:w="60" w:type="dxa"/>
              <w:end w:w="90" w:type="dxa"/>
            </w:tcMar>
          </w:tcPr>
          <w:p>
            <w:pPr>
              <w:keepLines/>
              <w:spacing w:after="0"/>
            </w:pPr>
            <w:r/>
            <w:r>
              <w:rPr>
                <w:rFonts w:ascii="Times New Roman" w:hAnsi="Times New Roman"/>
                <w:sz w:val="17"/>
              </w:rPr>
              <w:t>Geltungsbereich bis Überwachungsaudit bestätigt</w:t>
            </w:r>
          </w:p>
        </w:tc>
      </w:tr>
      <w:tr>
        <w:trPr>
          <w:cantSplit/>
        </w:trPr>
        <w:tc>
          <w:tcPr>
            <w:tcW w:type="dxa" w:w="2488"/>
            <w:vAlign w:val="top"/>
            <w:tcMar>
              <w:top w:w="60" w:type="dxa"/>
              <w:start w:w="90" w:type="dxa"/>
              <w:bottom w:w="60" w:type="dxa"/>
              <w:end w:w="90" w:type="dxa"/>
            </w:tcMar>
            <w:shd w:fill="F1F3F3"/>
          </w:tcPr>
          <w:p>
            <w:pPr>
              <w:keepLines/>
              <w:spacing w:after="0"/>
            </w:pPr>
            <w:r/>
            <w:r>
              <w:rPr>
                <w:rFonts w:ascii="Times New Roman" w:hAnsi="Times New Roman"/>
                <w:sz w:val="17"/>
              </w:rPr>
              <w:t>24/7-Serviceorganisation</w:t>
            </w:r>
          </w:p>
        </w:tc>
        <w:tc>
          <w:tcPr>
            <w:tcW w:type="dxa" w:w="3255"/>
            <w:vAlign w:val="top"/>
            <w:tcMar>
              <w:top w:w="60" w:type="dxa"/>
              <w:start w:w="90" w:type="dxa"/>
              <w:bottom w:w="60" w:type="dxa"/>
              <w:end w:w="90" w:type="dxa"/>
            </w:tcMar>
            <w:shd w:fill="F1F3F3"/>
          </w:tcPr>
          <w:p>
            <w:pPr>
              <w:keepLines/>
              <w:spacing w:after="0"/>
            </w:pPr>
            <w:r/>
            <w:r>
              <w:rPr>
                <w:rFonts w:ascii="Times New Roman" w:hAnsi="Times New Roman"/>
                <w:sz w:val="17"/>
              </w:rPr>
              <w:t>Schichtplan, Rufbereitschaft, Leitstellenvertrag</w:t>
            </w:r>
          </w:p>
        </w:tc>
        <w:tc>
          <w:tcPr>
            <w:tcW w:type="dxa" w:w="3328"/>
            <w:vAlign w:val="top"/>
            <w:tcMar>
              <w:top w:w="60" w:type="dxa"/>
              <w:start w:w="90" w:type="dxa"/>
              <w:bottom w:w="60" w:type="dxa"/>
              <w:end w:w="90" w:type="dxa"/>
            </w:tcMar>
            <w:shd w:fill="F1F3F3"/>
          </w:tcPr>
          <w:p>
            <w:pPr>
              <w:keepLines/>
              <w:spacing w:after="0"/>
            </w:pPr>
            <w:r/>
            <w:r>
              <w:rPr>
                <w:rFonts w:ascii="Times New Roman" w:hAnsi="Times New Roman"/>
                <w:sz w:val="17"/>
              </w:rPr>
              <w:t>unveränderte Abdeckung</w:t>
            </w:r>
          </w:p>
        </w:tc>
      </w:tr>
      <w:tr>
        <w:trPr>
          <w:cantSplit/>
        </w:trPr>
        <w:tc>
          <w:tcPr>
            <w:tcW w:type="dxa" w:w="2488"/>
            <w:vAlign w:val="top"/>
            <w:tcMar>
              <w:top w:w="60" w:type="dxa"/>
              <w:start w:w="90" w:type="dxa"/>
              <w:bottom w:w="60" w:type="dxa"/>
              <w:end w:w="90" w:type="dxa"/>
            </w:tcMar>
          </w:tcPr>
          <w:p>
            <w:pPr>
              <w:keepLines/>
              <w:spacing w:after="0"/>
            </w:pPr>
            <w:r/>
            <w:r>
              <w:rPr>
                <w:rFonts w:ascii="Times New Roman" w:hAnsi="Times New Roman"/>
                <w:sz w:val="17"/>
              </w:rPr>
              <w:t>Mindestumsatz</w:t>
            </w:r>
          </w:p>
        </w:tc>
        <w:tc>
          <w:tcPr>
            <w:tcW w:type="dxa" w:w="3255"/>
            <w:vAlign w:val="top"/>
            <w:tcMar>
              <w:top w:w="60" w:type="dxa"/>
              <w:start w:w="90" w:type="dxa"/>
              <w:bottom w:w="60" w:type="dxa"/>
              <w:end w:w="90" w:type="dxa"/>
            </w:tcMar>
          </w:tcPr>
          <w:p>
            <w:pPr>
              <w:keepLines/>
              <w:spacing w:after="0"/>
            </w:pPr>
            <w:r/>
            <w:r>
              <w:rPr>
                <w:rFonts w:ascii="Times New Roman" w:hAnsi="Times New Roman"/>
                <w:sz w:val="17"/>
              </w:rPr>
              <w:t>Patronat und Finanzierungsbestätigung ersetzen den Umsatznachweis nicht automatisch</w:t>
            </w:r>
          </w:p>
        </w:tc>
        <w:tc>
          <w:tcPr>
            <w:tcW w:type="dxa" w:w="3328"/>
            <w:vAlign w:val="top"/>
            <w:tcMar>
              <w:top w:w="60" w:type="dxa"/>
              <w:start w:w="90" w:type="dxa"/>
              <w:bottom w:w="60" w:type="dxa"/>
              <w:end w:w="90" w:type="dxa"/>
            </w:tcMar>
          </w:tcPr>
          <w:p>
            <w:pPr>
              <w:keepLines/>
              <w:spacing w:after="0"/>
            </w:pPr>
            <w:r/>
            <w:r>
              <w:rPr>
                <w:rFonts w:ascii="Times New Roman" w:hAnsi="Times New Roman"/>
                <w:sz w:val="17"/>
              </w:rPr>
              <w:t>gesonderte Gleichwertigkeitsprüfung der wirtschaftlichen Leistungsfähigkeit dokumentiert</w:t>
            </w:r>
          </w:p>
        </w:tc>
      </w:tr>
    </w:tbl>
    <w:p>
      <w:pPr>
        <w:spacing w:after="0" w:before="40"/>
      </w:pPr>
    </w:p>
    <w:p>
      <w:pPr>
        <w:keepNext/>
        <w:keepLines/>
      </w:pPr>
      <w:r>
        <w:t>Die neu gegründete Erwerberin verfügt noch über keinen historischen Jahresumsatz. Die Stadt hat deshalb nicht lediglich auf eine Patronatserklärung abgestellt, sondern Liquiditätsplan, Eigenkapitalzuführung, Kreditlinie, Versicherungen, Vertragsbestand und monatliche Berichtspflichten gemeinsam geprüft. Die ursprüngliche Eignungsanforderung wird weder gestrichen noch durch eine nachträglich mildere Schwelle ersetzt.</w:t>
      </w:r>
    </w:p>
    <w:p>
      <w:pPr>
        <w:pStyle w:val="Heading1"/>
        <w:keepNext/>
        <w:keepLines/>
      </w:pPr>
      <w:r>
        <w:t>6. Vertragsidentität</w:t>
      </w:r>
    </w:p>
    <w:tbl>
      <w:tblPr>
        <w:tblStyle w:val="TableGrid"/>
        <w:tblW w:type="dxa" w:w="9071"/>
        <w:jc w:val="left"/>
        <w:tblLayout w:type="fixed"/>
        <w:tblLook w:firstColumn="1" w:firstRow="1" w:lastColumn="0" w:lastRow="0" w:noHBand="0" w:noVBand="1" w:val="04A0"/>
      </w:tblPr>
      <w:tblGrid>
        <w:gridCol w:w="1933"/>
        <w:gridCol w:w="2797"/>
        <w:gridCol w:w="2345"/>
        <w:gridCol w:w="1996"/>
      </w:tblGrid>
      <w:tr>
        <w:trPr>
          <w:tblHeader w:val="true"/>
          <w:cantSplit/>
        </w:trPr>
        <w:tc>
          <w:tcPr>
            <w:tcW w:type="dxa" w:w="1933"/>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Regelung</w:t>
            </w:r>
          </w:p>
        </w:tc>
        <w:tc>
          <w:tcPr>
            <w:tcW w:type="dxa" w:w="27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Altvertrag</w:t>
            </w:r>
          </w:p>
        </w:tc>
        <w:tc>
          <w:tcPr>
            <w:tcW w:type="dxa" w:w="23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Eintrittsfassung</w:t>
            </w:r>
          </w:p>
        </w:tc>
        <w:tc>
          <w:tcPr>
            <w:tcW w:type="dxa" w:w="1996"/>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Befund</w:t>
            </w:r>
          </w:p>
        </w:tc>
      </w:tr>
      <w:tr>
        <w:trPr>
          <w:cantSplit/>
        </w:trPr>
        <w:tc>
          <w:tcPr>
            <w:tcW w:type="dxa" w:w="1933"/>
            <w:vAlign w:val="top"/>
            <w:tcMar>
              <w:top w:w="60" w:type="dxa"/>
              <w:start w:w="90" w:type="dxa"/>
              <w:bottom w:w="60" w:type="dxa"/>
              <w:end w:w="90" w:type="dxa"/>
            </w:tcMar>
          </w:tcPr>
          <w:p>
            <w:pPr>
              <w:keepLines/>
              <w:spacing w:after="0"/>
            </w:pPr>
            <w:r/>
            <w:r>
              <w:rPr>
                <w:rFonts w:ascii="Times New Roman" w:hAnsi="Times New Roman"/>
                <w:sz w:val="17"/>
              </w:rPr>
              <w:t>Leistungsumfang</w:t>
            </w:r>
          </w:p>
        </w:tc>
        <w:tc>
          <w:tcPr>
            <w:tcW w:type="dxa" w:w="2797"/>
            <w:vAlign w:val="top"/>
            <w:tcMar>
              <w:top w:w="60" w:type="dxa"/>
              <w:start w:w="90" w:type="dxa"/>
              <w:bottom w:w="60" w:type="dxa"/>
              <w:end w:w="90" w:type="dxa"/>
            </w:tcMar>
          </w:tcPr>
          <w:p>
            <w:pPr>
              <w:keepLines/>
              <w:spacing w:after="0"/>
            </w:pPr>
            <w:r/>
            <w:r>
              <w:rPr>
                <w:rFonts w:ascii="Times New Roman" w:hAnsi="Times New Roman"/>
                <w:sz w:val="17"/>
              </w:rPr>
              <w:t>Betrieb, Wartung, Vor-Ort-Support</w:t>
            </w:r>
          </w:p>
        </w:tc>
        <w:tc>
          <w:tcPr>
            <w:tcW w:type="dxa" w:w="2345"/>
            <w:vAlign w:val="top"/>
            <w:tcMar>
              <w:top w:w="60" w:type="dxa"/>
              <w:start w:w="90" w:type="dxa"/>
              <w:bottom w:w="60" w:type="dxa"/>
              <w:end w:w="90" w:type="dxa"/>
            </w:tcMar>
          </w:tcPr>
          <w:p>
            <w:pPr>
              <w:keepLines/>
              <w:spacing w:after="0"/>
            </w:pPr>
            <w:r/>
            <w:r>
              <w:rPr>
                <w:rFonts w:ascii="Times New Roman" w:hAnsi="Times New Roman"/>
                <w:sz w:val="17"/>
              </w:rPr>
              <w:t>unverändert</w:t>
            </w:r>
          </w:p>
        </w:tc>
        <w:tc>
          <w:tcPr>
            <w:tcW w:type="dxa" w:w="1996"/>
            <w:vAlign w:val="top"/>
            <w:tcMar>
              <w:top w:w="60" w:type="dxa"/>
              <w:start w:w="90" w:type="dxa"/>
              <w:bottom w:w="60" w:type="dxa"/>
              <w:end w:w="90" w:type="dxa"/>
            </w:tcMar>
          </w:tcPr>
          <w:p>
            <w:pPr>
              <w:keepLines/>
              <w:spacing w:after="0"/>
            </w:pPr>
            <w:r/>
            <w:r>
              <w:rPr>
                <w:rFonts w:ascii="Times New Roman" w:hAnsi="Times New Roman"/>
                <w:sz w:val="17"/>
              </w:rPr>
              <w:t>keine Mehrleistung</w:t>
            </w:r>
          </w:p>
        </w:tc>
      </w:tr>
      <w:tr>
        <w:trPr>
          <w:cantSplit/>
        </w:trPr>
        <w:tc>
          <w:tcPr>
            <w:tcW w:type="dxa" w:w="1933"/>
            <w:vAlign w:val="top"/>
            <w:tcMar>
              <w:top w:w="60" w:type="dxa"/>
              <w:start w:w="90" w:type="dxa"/>
              <w:bottom w:w="60" w:type="dxa"/>
              <w:end w:w="90" w:type="dxa"/>
            </w:tcMar>
            <w:shd w:fill="F1F3F3"/>
          </w:tcPr>
          <w:p>
            <w:pPr>
              <w:keepLines/>
              <w:spacing w:after="0"/>
            </w:pPr>
            <w:r/>
            <w:r>
              <w:rPr>
                <w:rFonts w:ascii="Times New Roman" w:hAnsi="Times New Roman"/>
                <w:sz w:val="17"/>
              </w:rPr>
              <w:t>Vergütung</w:t>
            </w:r>
          </w:p>
        </w:tc>
        <w:tc>
          <w:tcPr>
            <w:tcW w:type="dxa" w:w="2797"/>
            <w:vAlign w:val="top"/>
            <w:tcMar>
              <w:top w:w="60" w:type="dxa"/>
              <w:start w:w="90" w:type="dxa"/>
              <w:bottom w:w="60" w:type="dxa"/>
              <w:end w:w="90" w:type="dxa"/>
            </w:tcMar>
            <w:shd w:fill="F1F3F3"/>
          </w:tcPr>
          <w:p>
            <w:pPr>
              <w:keepLines/>
              <w:spacing w:after="0"/>
            </w:pPr>
            <w:r/>
            <w:r>
              <w:rPr>
                <w:rFonts w:ascii="Times New Roman" w:hAnsi="Times New Roman"/>
                <w:sz w:val="17"/>
              </w:rPr>
              <w:t>Preisblatt 2026, vereinbarte Indexierung</w:t>
            </w:r>
          </w:p>
        </w:tc>
        <w:tc>
          <w:tcPr>
            <w:tcW w:type="dxa" w:w="2345"/>
            <w:vAlign w:val="top"/>
            <w:tcMar>
              <w:top w:w="60" w:type="dxa"/>
              <w:start w:w="90" w:type="dxa"/>
              <w:bottom w:w="60" w:type="dxa"/>
              <w:end w:w="90" w:type="dxa"/>
            </w:tcMar>
            <w:shd w:fill="F1F3F3"/>
          </w:tcPr>
          <w:p>
            <w:pPr>
              <w:keepLines/>
              <w:spacing w:after="0"/>
            </w:pPr>
            <w:r/>
            <w:r>
              <w:rPr>
                <w:rFonts w:ascii="Times New Roman" w:hAnsi="Times New Roman"/>
                <w:sz w:val="17"/>
              </w:rPr>
              <w:t>unverändert</w:t>
            </w:r>
          </w:p>
        </w:tc>
        <w:tc>
          <w:tcPr>
            <w:tcW w:type="dxa" w:w="1996"/>
            <w:vAlign w:val="top"/>
            <w:tcMar>
              <w:top w:w="60" w:type="dxa"/>
              <w:start w:w="90" w:type="dxa"/>
              <w:bottom w:w="60" w:type="dxa"/>
              <w:end w:w="90" w:type="dxa"/>
            </w:tcMar>
            <w:shd w:fill="F1F3F3"/>
          </w:tcPr>
          <w:p>
            <w:pPr>
              <w:keepLines/>
              <w:spacing w:after="0"/>
            </w:pPr>
            <w:r/>
            <w:r>
              <w:rPr>
                <w:rFonts w:ascii="Times New Roman" w:hAnsi="Times New Roman"/>
                <w:sz w:val="17"/>
              </w:rPr>
              <w:t>kein Kaufpreisaufschlag</w:t>
            </w:r>
          </w:p>
        </w:tc>
      </w:tr>
      <w:tr>
        <w:trPr>
          <w:cantSplit/>
        </w:trPr>
        <w:tc>
          <w:tcPr>
            <w:tcW w:type="dxa" w:w="1933"/>
            <w:vAlign w:val="top"/>
            <w:tcMar>
              <w:top w:w="60" w:type="dxa"/>
              <w:start w:w="90" w:type="dxa"/>
              <w:bottom w:w="60" w:type="dxa"/>
              <w:end w:w="90" w:type="dxa"/>
            </w:tcMar>
          </w:tcPr>
          <w:p>
            <w:pPr>
              <w:keepLines/>
              <w:spacing w:after="0"/>
            </w:pPr>
            <w:r/>
            <w:r>
              <w:rPr>
                <w:rFonts w:ascii="Times New Roman" w:hAnsi="Times New Roman"/>
                <w:sz w:val="17"/>
              </w:rPr>
              <w:t>Laufzeit</w:t>
            </w:r>
          </w:p>
        </w:tc>
        <w:tc>
          <w:tcPr>
            <w:tcW w:type="dxa" w:w="2797"/>
            <w:vAlign w:val="top"/>
            <w:tcMar>
              <w:top w:w="60" w:type="dxa"/>
              <w:start w:w="90" w:type="dxa"/>
              <w:bottom w:w="60" w:type="dxa"/>
              <w:end w:w="90" w:type="dxa"/>
            </w:tcMar>
          </w:tcPr>
          <w:p>
            <w:pPr>
              <w:keepLines/>
              <w:spacing w:after="0"/>
            </w:pPr>
            <w:r/>
            <w:r>
              <w:rPr>
                <w:rFonts w:ascii="Times New Roman" w:hAnsi="Times New Roman"/>
                <w:sz w:val="17"/>
              </w:rPr>
              <w:t>bis 31.12.2029 mit veröffentlichter Option</w:t>
            </w:r>
          </w:p>
        </w:tc>
        <w:tc>
          <w:tcPr>
            <w:tcW w:type="dxa" w:w="2345"/>
            <w:vAlign w:val="top"/>
            <w:tcMar>
              <w:top w:w="60" w:type="dxa"/>
              <w:start w:w="90" w:type="dxa"/>
              <w:bottom w:w="60" w:type="dxa"/>
              <w:end w:w="90" w:type="dxa"/>
            </w:tcMar>
          </w:tcPr>
          <w:p>
            <w:pPr>
              <w:keepLines/>
              <w:spacing w:after="0"/>
            </w:pPr>
            <w:r/>
            <w:r>
              <w:rPr>
                <w:rFonts w:ascii="Times New Roman" w:hAnsi="Times New Roman"/>
                <w:sz w:val="17"/>
              </w:rPr>
              <w:t>unverändert</w:t>
            </w:r>
          </w:p>
        </w:tc>
        <w:tc>
          <w:tcPr>
            <w:tcW w:type="dxa" w:w="1996"/>
            <w:vAlign w:val="top"/>
            <w:tcMar>
              <w:top w:w="60" w:type="dxa"/>
              <w:start w:w="90" w:type="dxa"/>
              <w:bottom w:w="60" w:type="dxa"/>
              <w:end w:w="90" w:type="dxa"/>
            </w:tcMar>
          </w:tcPr>
          <w:p>
            <w:pPr>
              <w:keepLines/>
              <w:spacing w:after="0"/>
            </w:pPr>
            <w:r/>
            <w:r>
              <w:rPr>
                <w:rFonts w:ascii="Times New Roman" w:hAnsi="Times New Roman"/>
                <w:sz w:val="17"/>
              </w:rPr>
              <w:t>keine Verlängerung</w:t>
            </w:r>
          </w:p>
        </w:tc>
      </w:tr>
      <w:tr>
        <w:trPr>
          <w:cantSplit/>
        </w:trPr>
        <w:tc>
          <w:tcPr>
            <w:tcW w:type="dxa" w:w="1933"/>
            <w:vAlign w:val="top"/>
            <w:tcMar>
              <w:top w:w="60" w:type="dxa"/>
              <w:start w:w="90" w:type="dxa"/>
              <w:bottom w:w="60" w:type="dxa"/>
              <w:end w:w="90" w:type="dxa"/>
            </w:tcMar>
            <w:shd w:fill="F1F3F3"/>
          </w:tcPr>
          <w:p>
            <w:pPr>
              <w:keepLines/>
              <w:spacing w:after="0"/>
            </w:pPr>
            <w:r/>
            <w:r>
              <w:rPr>
                <w:rFonts w:ascii="Times New Roman" w:hAnsi="Times New Roman"/>
                <w:sz w:val="17"/>
              </w:rPr>
              <w:t>Haftung und Vertragsstrafe</w:t>
            </w:r>
          </w:p>
        </w:tc>
        <w:tc>
          <w:tcPr>
            <w:tcW w:type="dxa" w:w="2797"/>
            <w:vAlign w:val="top"/>
            <w:tcMar>
              <w:top w:w="60" w:type="dxa"/>
              <w:start w:w="90" w:type="dxa"/>
              <w:bottom w:w="60" w:type="dxa"/>
              <w:end w:w="90" w:type="dxa"/>
            </w:tcMar>
            <w:shd w:fill="F1F3F3"/>
          </w:tcPr>
          <w:p>
            <w:pPr>
              <w:keepLines/>
              <w:spacing w:after="0"/>
            </w:pPr>
            <w:r/>
            <w:r>
              <w:rPr>
                <w:rFonts w:ascii="Times New Roman" w:hAnsi="Times New Roman"/>
                <w:sz w:val="17"/>
              </w:rPr>
              <w:t>Vertrag Ziffern 18 und 19</w:t>
            </w:r>
          </w:p>
        </w:tc>
        <w:tc>
          <w:tcPr>
            <w:tcW w:type="dxa" w:w="2345"/>
            <w:vAlign w:val="top"/>
            <w:tcMar>
              <w:top w:w="60" w:type="dxa"/>
              <w:start w:w="90" w:type="dxa"/>
              <w:bottom w:w="60" w:type="dxa"/>
              <w:end w:w="90" w:type="dxa"/>
            </w:tcMar>
            <w:shd w:fill="F1F3F3"/>
          </w:tcPr>
          <w:p>
            <w:pPr>
              <w:keepLines/>
              <w:spacing w:after="0"/>
            </w:pPr>
            <w:r/>
            <w:r>
              <w:rPr>
                <w:rFonts w:ascii="Times New Roman" w:hAnsi="Times New Roman"/>
                <w:sz w:val="17"/>
              </w:rPr>
              <w:t>unverändert</w:t>
            </w:r>
          </w:p>
        </w:tc>
        <w:tc>
          <w:tcPr>
            <w:tcW w:type="dxa" w:w="1996"/>
            <w:vAlign w:val="top"/>
            <w:tcMar>
              <w:top w:w="60" w:type="dxa"/>
              <w:start w:w="90" w:type="dxa"/>
              <w:bottom w:w="60" w:type="dxa"/>
              <w:end w:w="90" w:type="dxa"/>
            </w:tcMar>
            <w:shd w:fill="F1F3F3"/>
          </w:tcPr>
          <w:p>
            <w:pPr>
              <w:keepLines/>
              <w:spacing w:after="0"/>
            </w:pPr>
            <w:r/>
            <w:r>
              <w:rPr>
                <w:rFonts w:ascii="Times New Roman" w:hAnsi="Times New Roman"/>
                <w:sz w:val="17"/>
              </w:rPr>
              <w:t>keine Risikoverlagerung</w:t>
            </w:r>
          </w:p>
        </w:tc>
      </w:tr>
      <w:tr>
        <w:trPr>
          <w:cantSplit/>
        </w:trPr>
        <w:tc>
          <w:tcPr>
            <w:tcW w:type="dxa" w:w="1933"/>
            <w:vAlign w:val="top"/>
            <w:tcMar>
              <w:top w:w="60" w:type="dxa"/>
              <w:start w:w="90" w:type="dxa"/>
              <w:bottom w:w="60" w:type="dxa"/>
              <w:end w:w="90" w:type="dxa"/>
            </w:tcMar>
          </w:tcPr>
          <w:p>
            <w:pPr>
              <w:keepLines/>
              <w:spacing w:after="0"/>
            </w:pPr>
            <w:r/>
            <w:r>
              <w:rPr>
                <w:rFonts w:ascii="Times New Roman" w:hAnsi="Times New Roman"/>
                <w:sz w:val="17"/>
              </w:rPr>
              <w:t>Nachunternehmen</w:t>
            </w:r>
          </w:p>
        </w:tc>
        <w:tc>
          <w:tcPr>
            <w:tcW w:type="dxa" w:w="2797"/>
            <w:vAlign w:val="top"/>
            <w:tcMar>
              <w:top w:w="60" w:type="dxa"/>
              <w:start w:w="90" w:type="dxa"/>
              <w:bottom w:w="60" w:type="dxa"/>
              <w:end w:w="90" w:type="dxa"/>
            </w:tcMar>
          </w:tcPr>
          <w:p>
            <w:pPr>
              <w:keepLines/>
              <w:spacing w:after="0"/>
            </w:pPr>
            <w:r/>
            <w:r>
              <w:rPr>
                <w:rFonts w:ascii="Times New Roman" w:hAnsi="Times New Roman"/>
                <w:sz w:val="17"/>
              </w:rPr>
              <w:t>drei benannte Unternehmen</w:t>
            </w:r>
          </w:p>
        </w:tc>
        <w:tc>
          <w:tcPr>
            <w:tcW w:type="dxa" w:w="2345"/>
            <w:vAlign w:val="top"/>
            <w:tcMar>
              <w:top w:w="60" w:type="dxa"/>
              <w:start w:w="90" w:type="dxa"/>
              <w:bottom w:w="60" w:type="dxa"/>
              <w:end w:w="90" w:type="dxa"/>
            </w:tcMar>
          </w:tcPr>
          <w:p>
            <w:pPr>
              <w:keepLines/>
              <w:spacing w:after="0"/>
            </w:pPr>
            <w:r/>
            <w:r>
              <w:rPr>
                <w:rFonts w:ascii="Times New Roman" w:hAnsi="Times New Roman"/>
                <w:sz w:val="17"/>
              </w:rPr>
              <w:t>dieselben drei Unternehmen</w:t>
            </w:r>
          </w:p>
        </w:tc>
        <w:tc>
          <w:tcPr>
            <w:tcW w:type="dxa" w:w="1996"/>
            <w:vAlign w:val="top"/>
            <w:tcMar>
              <w:top w:w="60" w:type="dxa"/>
              <w:start w:w="90" w:type="dxa"/>
              <w:bottom w:w="60" w:type="dxa"/>
              <w:end w:w="90" w:type="dxa"/>
            </w:tcMar>
          </w:tcPr>
          <w:p>
            <w:pPr>
              <w:keepLines/>
              <w:spacing w:after="0"/>
            </w:pPr>
            <w:r/>
            <w:r>
              <w:rPr>
                <w:rFonts w:ascii="Times New Roman" w:hAnsi="Times New Roman"/>
                <w:sz w:val="17"/>
              </w:rPr>
              <w:t>Zustimmungen liegen vor</w:t>
            </w:r>
          </w:p>
        </w:tc>
      </w:tr>
      <w:tr>
        <w:trPr>
          <w:cantSplit/>
        </w:trPr>
        <w:tc>
          <w:tcPr>
            <w:tcW w:type="dxa" w:w="1933"/>
            <w:vAlign w:val="top"/>
            <w:tcMar>
              <w:top w:w="60" w:type="dxa"/>
              <w:start w:w="90" w:type="dxa"/>
              <w:bottom w:w="60" w:type="dxa"/>
              <w:end w:w="90" w:type="dxa"/>
            </w:tcMar>
            <w:shd w:fill="F1F3F3"/>
          </w:tcPr>
          <w:p>
            <w:pPr>
              <w:keepLines/>
              <w:spacing w:after="0"/>
            </w:pPr>
            <w:r/>
            <w:r>
              <w:rPr>
                <w:rFonts w:ascii="Times New Roman" w:hAnsi="Times New Roman"/>
                <w:sz w:val="17"/>
              </w:rPr>
              <w:t>Sicherheiten</w:t>
            </w:r>
          </w:p>
        </w:tc>
        <w:tc>
          <w:tcPr>
            <w:tcW w:type="dxa" w:w="2797"/>
            <w:vAlign w:val="top"/>
            <w:tcMar>
              <w:top w:w="60" w:type="dxa"/>
              <w:start w:w="90" w:type="dxa"/>
              <w:bottom w:w="60" w:type="dxa"/>
              <w:end w:w="90" w:type="dxa"/>
            </w:tcMar>
            <w:shd w:fill="F1F3F3"/>
          </w:tcPr>
          <w:p>
            <w:pPr>
              <w:keepLines/>
              <w:spacing w:after="0"/>
            </w:pPr>
            <w:r/>
            <w:r>
              <w:rPr>
                <w:rFonts w:ascii="Times New Roman" w:hAnsi="Times New Roman"/>
                <w:sz w:val="17"/>
              </w:rPr>
              <w:t>Vertragserfüllungssicherheit</w:t>
            </w:r>
          </w:p>
        </w:tc>
        <w:tc>
          <w:tcPr>
            <w:tcW w:type="dxa" w:w="2345"/>
            <w:vAlign w:val="top"/>
            <w:tcMar>
              <w:top w:w="60" w:type="dxa"/>
              <w:start w:w="90" w:type="dxa"/>
              <w:bottom w:w="60" w:type="dxa"/>
              <w:end w:w="90" w:type="dxa"/>
            </w:tcMar>
            <w:shd w:fill="F1F3F3"/>
          </w:tcPr>
          <w:p>
            <w:pPr>
              <w:keepLines/>
              <w:spacing w:after="0"/>
            </w:pPr>
            <w:r/>
            <w:r>
              <w:rPr>
                <w:rFonts w:ascii="Times New Roman" w:hAnsi="Times New Roman"/>
                <w:sz w:val="17"/>
              </w:rPr>
              <w:t>neue selbstschuldnerische Bürgschaft</w:t>
            </w:r>
          </w:p>
        </w:tc>
        <w:tc>
          <w:tcPr>
            <w:tcW w:type="dxa" w:w="1996"/>
            <w:vAlign w:val="top"/>
            <w:tcMar>
              <w:top w:w="60" w:type="dxa"/>
              <w:start w:w="90" w:type="dxa"/>
              <w:bottom w:w="60" w:type="dxa"/>
              <w:end w:w="90" w:type="dxa"/>
            </w:tcMar>
            <w:shd w:fill="F1F3F3"/>
          </w:tcPr>
          <w:p>
            <w:pPr>
              <w:keepLines/>
              <w:spacing w:after="0"/>
            </w:pPr>
            <w:r/>
            <w:r>
              <w:rPr>
                <w:rFonts w:ascii="Times New Roman" w:hAnsi="Times New Roman"/>
                <w:sz w:val="17"/>
              </w:rPr>
              <w:t>lückenlos ab Stichtag</w:t>
            </w:r>
          </w:p>
        </w:tc>
      </w:tr>
    </w:tbl>
    <w:p>
      <w:pPr>
        <w:spacing w:after="0" w:before="40"/>
      </w:pPr>
    </w:p>
    <w:p>
      <w:pPr>
        <w:pStyle w:val="Heading1"/>
        <w:keepNext/>
        <w:keepLines/>
      </w:pPr>
      <w:r>
        <w:t>7. Offene Punkte und Monitoring</w:t>
      </w:r>
    </w:p>
    <w:tbl>
      <w:tblPr>
        <w:tblStyle w:val="TableGrid"/>
        <w:tblW w:type="dxa" w:w="9071"/>
        <w:jc w:val="left"/>
        <w:tblLayout w:type="fixed"/>
        <w:tblLook w:firstColumn="1" w:firstRow="1" w:lastColumn="0" w:lastRow="0" w:noHBand="0" w:noVBand="1" w:val="04A0"/>
      </w:tblPr>
      <w:tblGrid>
        <w:gridCol w:w="2517"/>
        <w:gridCol w:w="1797"/>
        <w:gridCol w:w="1996"/>
        <w:gridCol w:w="2761"/>
      </w:tblGrid>
      <w:tr>
        <w:trPr>
          <w:tblHeader w:val="true"/>
          <w:cantSplit/>
        </w:trPr>
        <w:tc>
          <w:tcPr>
            <w:tcW w:type="dxa" w:w="2517"/>
            <w:vAlign w:val="top"/>
            <w:tcMar>
              <w:top w:w="60" w:type="dxa"/>
              <w:start w:w="90" w:type="dxa"/>
              <w:bottom w:w="60" w:type="dxa"/>
              <w:end w:w="90" w:type="dxa"/>
            </w:tcMar>
            <w:shd w:fill="01696F"/>
          </w:tcPr>
          <w:p>
            <w:pPr>
              <w:keepLines/>
              <w:spacing w:after="0"/>
            </w:pPr>
            <w:r/>
            <w:r>
              <w:rPr>
                <w:rFonts w:ascii="Times New Roman" w:hAnsi="Times New Roman"/>
                <w:b/>
                <w:color w:val="FFFFFF"/>
                <w:sz w:val="17"/>
              </w:rPr>
              <w:t>offener Punkt</w:t>
            </w:r>
          </w:p>
        </w:tc>
        <w:tc>
          <w:tcPr>
            <w:tcW w:type="dxa" w:w="1797"/>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Frist</w:t>
            </w:r>
          </w:p>
        </w:tc>
        <w:tc>
          <w:tcPr>
            <w:tcW w:type="dxa" w:w="199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Verantwortlich</w:t>
            </w:r>
          </w:p>
        </w:tc>
        <w:tc>
          <w:tcPr>
            <w:tcW w:type="dxa" w:w="2761"/>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Konsequenz bei Ausfall</w:t>
            </w:r>
          </w:p>
        </w:tc>
      </w:tr>
      <w:tr>
        <w:trPr>
          <w:cantSplit/>
        </w:trPr>
        <w:tc>
          <w:tcPr>
            <w:tcW w:type="dxa" w:w="2517"/>
            <w:vAlign w:val="top"/>
            <w:tcMar>
              <w:top w:w="60" w:type="dxa"/>
              <w:start w:w="90" w:type="dxa"/>
              <w:bottom w:w="60" w:type="dxa"/>
              <w:end w:w="90" w:type="dxa"/>
            </w:tcMar>
          </w:tcPr>
          <w:p>
            <w:pPr>
              <w:keepLines/>
              <w:spacing w:after="0"/>
            </w:pPr>
            <w:r/>
            <w:r>
              <w:rPr>
                <w:rFonts w:ascii="Times New Roman" w:hAnsi="Times New Roman"/>
                <w:sz w:val="17"/>
              </w:rPr>
              <w:t>Überwachungsaudit ISO 27001</w:t>
            </w:r>
          </w:p>
        </w:tc>
        <w:tc>
          <w:tcPr>
            <w:tcW w:type="dxa" w:w="1797"/>
            <w:vAlign w:val="top"/>
            <w:tcMar>
              <w:top w:w="60" w:type="dxa"/>
              <w:start w:w="90" w:type="dxa"/>
              <w:bottom w:w="60" w:type="dxa"/>
              <w:end w:w="90" w:type="dxa"/>
            </w:tcMar>
          </w:tcPr>
          <w:p>
            <w:pPr>
              <w:keepLines/>
              <w:spacing w:after="0"/>
            </w:pPr>
            <w:r/>
            <w:r>
              <w:rPr>
                <w:rFonts w:ascii="Times New Roman" w:hAnsi="Times New Roman"/>
                <w:sz w:val="17"/>
              </w:rPr>
              <w:t>31.01.2027</w:t>
            </w:r>
          </w:p>
        </w:tc>
        <w:tc>
          <w:tcPr>
            <w:tcW w:type="dxa" w:w="1996"/>
            <w:vAlign w:val="top"/>
            <w:tcMar>
              <w:top w:w="60" w:type="dxa"/>
              <w:start w:w="90" w:type="dxa"/>
              <w:bottom w:w="60" w:type="dxa"/>
              <w:end w:w="90" w:type="dxa"/>
            </w:tcMar>
          </w:tcPr>
          <w:p>
            <w:pPr>
              <w:keepLines/>
              <w:spacing w:after="0"/>
            </w:pPr>
            <w:r/>
            <w:r>
              <w:rPr>
                <w:rFonts w:ascii="Times New Roman" w:hAnsi="Times New Roman"/>
                <w:sz w:val="17"/>
              </w:rPr>
              <w:t>Erwerberin</w:t>
            </w:r>
          </w:p>
        </w:tc>
        <w:tc>
          <w:tcPr>
            <w:tcW w:type="dxa" w:w="2761"/>
            <w:vAlign w:val="top"/>
            <w:tcMar>
              <w:top w:w="60" w:type="dxa"/>
              <w:start w:w="90" w:type="dxa"/>
              <w:bottom w:w="60" w:type="dxa"/>
              <w:end w:w="90" w:type="dxa"/>
            </w:tcMar>
          </w:tcPr>
          <w:p>
            <w:pPr>
              <w:keepLines/>
              <w:spacing w:after="0"/>
            </w:pPr>
            <w:r/>
            <w:r>
              <w:rPr>
                <w:rFonts w:ascii="Times New Roman" w:hAnsi="Times New Roman"/>
                <w:sz w:val="17"/>
              </w:rPr>
              <w:t>Eskalation und Nachfrist</w:t>
            </w:r>
          </w:p>
        </w:tc>
      </w:tr>
      <w:tr>
        <w:trPr>
          <w:cantSplit/>
        </w:trPr>
        <w:tc>
          <w:tcPr>
            <w:tcW w:type="dxa" w:w="2517"/>
            <w:vAlign w:val="top"/>
            <w:tcMar>
              <w:top w:w="60" w:type="dxa"/>
              <w:start w:w="90" w:type="dxa"/>
              <w:bottom w:w="60" w:type="dxa"/>
              <w:end w:w="90" w:type="dxa"/>
            </w:tcMar>
            <w:shd w:fill="F1F3F3"/>
          </w:tcPr>
          <w:p>
            <w:pPr>
              <w:keepLines/>
              <w:spacing w:after="0"/>
            </w:pPr>
            <w:r/>
            <w:r>
              <w:rPr>
                <w:rFonts w:ascii="Times New Roman" w:hAnsi="Times New Roman"/>
                <w:sz w:val="17"/>
              </w:rPr>
              <w:t>Archivimport der Protokollanhänge</w:t>
            </w:r>
          </w:p>
        </w:tc>
        <w:tc>
          <w:tcPr>
            <w:tcW w:type="dxa" w:w="1797"/>
            <w:vAlign w:val="top"/>
            <w:tcMar>
              <w:top w:w="60" w:type="dxa"/>
              <w:start w:w="90" w:type="dxa"/>
              <w:bottom w:w="60" w:type="dxa"/>
              <w:end w:w="90" w:type="dxa"/>
            </w:tcMar>
            <w:shd w:fill="F1F3F3"/>
          </w:tcPr>
          <w:p>
            <w:pPr>
              <w:keepLines/>
              <w:spacing w:after="0"/>
            </w:pPr>
            <w:r/>
            <w:r>
              <w:rPr>
                <w:rFonts w:ascii="Times New Roman" w:hAnsi="Times New Roman"/>
                <w:sz w:val="17"/>
              </w:rPr>
              <w:t>23.12.2026</w:t>
            </w:r>
          </w:p>
        </w:tc>
        <w:tc>
          <w:tcPr>
            <w:tcW w:type="dxa" w:w="1996"/>
            <w:vAlign w:val="top"/>
            <w:tcMar>
              <w:top w:w="60" w:type="dxa"/>
              <w:start w:w="90" w:type="dxa"/>
              <w:bottom w:w="60" w:type="dxa"/>
              <w:end w:w="90" w:type="dxa"/>
            </w:tcMar>
            <w:shd w:fill="F1F3F3"/>
          </w:tcPr>
          <w:p>
            <w:pPr>
              <w:keepLines/>
              <w:spacing w:after="0"/>
            </w:pPr>
            <w:r/>
            <w:r>
              <w:rPr>
                <w:rFonts w:ascii="Times New Roman" w:hAnsi="Times New Roman"/>
                <w:sz w:val="17"/>
              </w:rPr>
              <w:t>Serviceleitung</w:t>
            </w:r>
          </w:p>
        </w:tc>
        <w:tc>
          <w:tcPr>
            <w:tcW w:type="dxa" w:w="2761"/>
            <w:vAlign w:val="top"/>
            <w:tcMar>
              <w:top w:w="60" w:type="dxa"/>
              <w:start w:w="90" w:type="dxa"/>
              <w:bottom w:w="60" w:type="dxa"/>
              <w:end w:w="90" w:type="dxa"/>
            </w:tcMar>
            <w:shd w:fill="F1F3F3"/>
          </w:tcPr>
          <w:p>
            <w:pPr>
              <w:keepLines/>
              <w:spacing w:after="0"/>
            </w:pPr>
            <w:r/>
            <w:r>
              <w:rPr>
                <w:rFonts w:ascii="Times New Roman" w:hAnsi="Times New Roman"/>
                <w:sz w:val="17"/>
              </w:rPr>
              <w:t>manueller Lesezugriff bleibt bestehen</w:t>
            </w:r>
          </w:p>
        </w:tc>
      </w:tr>
      <w:tr>
        <w:trPr>
          <w:cantSplit/>
        </w:trPr>
        <w:tc>
          <w:tcPr>
            <w:tcW w:type="dxa" w:w="2517"/>
            <w:vAlign w:val="top"/>
            <w:tcMar>
              <w:top w:w="60" w:type="dxa"/>
              <w:start w:w="90" w:type="dxa"/>
              <w:bottom w:w="60" w:type="dxa"/>
              <w:end w:w="90" w:type="dxa"/>
            </w:tcMar>
          </w:tcPr>
          <w:p>
            <w:pPr>
              <w:keepLines/>
              <w:spacing w:after="0"/>
            </w:pPr>
            <w:r/>
            <w:r>
              <w:rPr>
                <w:rFonts w:ascii="Times New Roman" w:hAnsi="Times New Roman"/>
                <w:sz w:val="17"/>
              </w:rPr>
              <w:t>Nachbesetzung zweier Vor-Ort-Kräfte</w:t>
            </w:r>
          </w:p>
        </w:tc>
        <w:tc>
          <w:tcPr>
            <w:tcW w:type="dxa" w:w="1797"/>
            <w:vAlign w:val="top"/>
            <w:tcMar>
              <w:top w:w="60" w:type="dxa"/>
              <w:start w:w="90" w:type="dxa"/>
              <w:bottom w:w="60" w:type="dxa"/>
              <w:end w:w="90" w:type="dxa"/>
            </w:tcMar>
          </w:tcPr>
          <w:p>
            <w:pPr>
              <w:keepLines/>
              <w:spacing w:after="0"/>
            </w:pPr>
            <w:r/>
            <w:r>
              <w:rPr>
                <w:rFonts w:ascii="Times New Roman" w:hAnsi="Times New Roman"/>
                <w:sz w:val="17"/>
              </w:rPr>
              <w:t>15.01.2027</w:t>
            </w:r>
          </w:p>
        </w:tc>
        <w:tc>
          <w:tcPr>
            <w:tcW w:type="dxa" w:w="1996"/>
            <w:vAlign w:val="top"/>
            <w:tcMar>
              <w:top w:w="60" w:type="dxa"/>
              <w:start w:w="90" w:type="dxa"/>
              <w:bottom w:w="60" w:type="dxa"/>
              <w:end w:w="90" w:type="dxa"/>
            </w:tcMar>
          </w:tcPr>
          <w:p>
            <w:pPr>
              <w:keepLines/>
              <w:spacing w:after="0"/>
            </w:pPr>
            <w:r/>
            <w:r>
              <w:rPr>
                <w:rFonts w:ascii="Times New Roman" w:hAnsi="Times New Roman"/>
                <w:sz w:val="17"/>
              </w:rPr>
              <w:t>Personal</w:t>
            </w:r>
          </w:p>
        </w:tc>
        <w:tc>
          <w:tcPr>
            <w:tcW w:type="dxa" w:w="2761"/>
            <w:vAlign w:val="top"/>
            <w:tcMar>
              <w:top w:w="60" w:type="dxa"/>
              <w:start w:w="90" w:type="dxa"/>
              <w:bottom w:w="60" w:type="dxa"/>
              <w:end w:w="90" w:type="dxa"/>
            </w:tcMar>
          </w:tcPr>
          <w:p>
            <w:pPr>
              <w:keepLines/>
              <w:spacing w:after="0"/>
            </w:pPr>
            <w:r/>
            <w:r>
              <w:rPr>
                <w:rFonts w:ascii="Times New Roman" w:hAnsi="Times New Roman"/>
                <w:sz w:val="17"/>
              </w:rPr>
              <w:t>Ersatzkräfte bleiben verbindlich eingeplant</w:t>
            </w:r>
          </w:p>
        </w:tc>
      </w:tr>
      <w:tr>
        <w:trPr>
          <w:cantSplit/>
        </w:trPr>
        <w:tc>
          <w:tcPr>
            <w:tcW w:type="dxa" w:w="2517"/>
            <w:vAlign w:val="top"/>
            <w:tcMar>
              <w:top w:w="60" w:type="dxa"/>
              <w:start w:w="90" w:type="dxa"/>
              <w:bottom w:w="60" w:type="dxa"/>
              <w:end w:w="90" w:type="dxa"/>
            </w:tcMar>
            <w:shd w:fill="F1F3F3"/>
          </w:tcPr>
          <w:p>
            <w:pPr>
              <w:keepLines/>
              <w:spacing w:after="0"/>
            </w:pPr>
            <w:r/>
            <w:r>
              <w:rPr>
                <w:rFonts w:ascii="Times New Roman" w:hAnsi="Times New Roman"/>
                <w:sz w:val="17"/>
              </w:rPr>
              <w:t>erster Servicebericht</w:t>
            </w:r>
          </w:p>
        </w:tc>
        <w:tc>
          <w:tcPr>
            <w:tcW w:type="dxa" w:w="1797"/>
            <w:vAlign w:val="top"/>
            <w:tcMar>
              <w:top w:w="60" w:type="dxa"/>
              <w:start w:w="90" w:type="dxa"/>
              <w:bottom w:w="60" w:type="dxa"/>
              <w:end w:w="90" w:type="dxa"/>
            </w:tcMar>
            <w:shd w:fill="F1F3F3"/>
          </w:tcPr>
          <w:p>
            <w:pPr>
              <w:keepLines/>
              <w:spacing w:after="0"/>
            </w:pPr>
            <w:r/>
            <w:r>
              <w:rPr>
                <w:rFonts w:ascii="Times New Roman" w:hAnsi="Times New Roman"/>
                <w:sz w:val="17"/>
              </w:rPr>
              <w:t>06.01.2027</w:t>
            </w:r>
          </w:p>
        </w:tc>
        <w:tc>
          <w:tcPr>
            <w:tcW w:type="dxa" w:w="1996"/>
            <w:vAlign w:val="top"/>
            <w:tcMar>
              <w:top w:w="60" w:type="dxa"/>
              <w:start w:w="90" w:type="dxa"/>
              <w:bottom w:w="60" w:type="dxa"/>
              <w:end w:w="90" w:type="dxa"/>
            </w:tcMar>
            <w:shd w:fill="F1F3F3"/>
          </w:tcPr>
          <w:p>
            <w:pPr>
              <w:keepLines/>
              <w:spacing w:after="0"/>
            </w:pPr>
            <w:r/>
            <w:r>
              <w:rPr>
                <w:rFonts w:ascii="Times New Roman" w:hAnsi="Times New Roman"/>
                <w:sz w:val="17"/>
              </w:rPr>
              <w:t>Qualitätsleitung</w:t>
            </w:r>
          </w:p>
        </w:tc>
        <w:tc>
          <w:tcPr>
            <w:tcW w:type="dxa" w:w="2761"/>
            <w:vAlign w:val="top"/>
            <w:tcMar>
              <w:top w:w="60" w:type="dxa"/>
              <w:start w:w="90" w:type="dxa"/>
              <w:bottom w:w="60" w:type="dxa"/>
              <w:end w:w="90" w:type="dxa"/>
            </w:tcMar>
            <w:shd w:fill="F1F3F3"/>
          </w:tcPr>
          <w:p>
            <w:pPr>
              <w:keepLines/>
              <w:spacing w:after="0"/>
            </w:pPr>
            <w:r/>
            <w:r>
              <w:rPr>
                <w:rFonts w:ascii="Times New Roman" w:hAnsi="Times New Roman"/>
                <w:sz w:val="17"/>
              </w:rPr>
              <w:t>gemeinsame Abweichungsanalyse</w:t>
            </w:r>
          </w:p>
        </w:tc>
      </w:tr>
    </w:tbl>
    <w:p>
      <w:pPr>
        <w:spacing w:after="0" w:before="40"/>
      </w:pPr>
    </w:p>
    <w:p>
      <w:pPr>
        <w:keepNext/>
        <w:keepLines/>
      </w:pPr>
      <w:r>
        <w:t>Die Stadt erhält wöchentlich einen Statusbericht für acht Wochen. Jede Abweichung wird danach geprüft, ob sie eine reine Vollzugsstörung, eine Vertragsverletzung oder eine Änderung des freigegebenen Auftragnehmerwechsels darstellt.</w:t>
      </w:r>
    </w:p>
    <w:p>
      <w:pPr>
        <w:keepLines/>
      </w:pPr>
      <w:r>
        <w:t>Mara Neumann, Geschäftsführerin NordSys Betriebserwerber GmbH</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 / NSB-CLOSING-04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NordSys Betriebserwerber GmbH</w:t>
      <w:t xml:space="preserve">  |  HB-IT-SERVICE-2026 / NSB-CLOSING-04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Vollzug des Asset Deals, Personal- und Lizenzkontinuität</dc:title>
  <dc:subject>Closing- und Vollzugsnachweis zum Auftragnehmerwechsel | Az. HB-IT-SERVICE-2026 / NSB-CLOSING-04</dc:subject>
  <dc:creator>NordSys Betriebserwerber GmbH</dc:creator>
  <cp:keywords>Vergaberecht, HB-IT-SERVICE-2026 / NSB-CLOSING-04, Closing- und Vollzugsnachweis zum Auftragnehmerwechsel</cp:keywords>
  <dc:description>generated by python-docx</dc:description>
  <cp:lastModifiedBy>NordSys Betriebserwerber GmbH</cp:lastModifiedBy>
  <cp:revision>1</cp:revision>
  <dcterms:created xsi:type="dcterms:W3CDTF">2000-01-01T00:00:00Z</dcterms:created>
  <dcterms:modified xsi:type="dcterms:W3CDTF">2000-01-01T00:00:00Z</dcterms:modified>
  <cp:category>Vergabeakte</cp:category>
</cp:coreProperties>
</file>