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Datacenter Westfalen GmbH</w:t>
            </w:r>
          </w:p>
          <w:p>
            <w:pPr>
              <w:spacing w:after="0"/>
            </w:pPr>
            <w:r>
              <w:rPr>
                <w:color w:val="646464"/>
                <w:sz w:val="18"/>
              </w:rPr>
              <w:t>Speicherstraße 14, 44147 Dortmund</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29.07.2026</w:t>
              <w:br/>
            </w:r>
            <w:r>
              <w:rPr>
                <w:rFonts w:ascii="Times New Roman" w:hAnsi="Times New Roman"/>
                <w:color w:val="646464"/>
                <w:sz w:val="18"/>
              </w:rPr>
              <w:t>Aktenzeichen: DW-2026-RZ-011</w:t>
              <w:br/>
            </w:r>
            <w:r>
              <w:rPr>
                <w:rFonts w:ascii="Times New Roman" w:hAnsi="Times New Roman"/>
                <w:color w:val="646464"/>
                <w:sz w:val="18"/>
              </w:rPr>
              <w:t>Prüfbericht Unterlagen</w:t>
            </w:r>
          </w:p>
        </w:tc>
      </w:tr>
    </w:tbl>
    <w:p>
      <w:pPr>
        <w:spacing w:before="200" w:after="40"/>
      </w:pPr>
      <w:r>
        <w:rPr>
          <w:rFonts w:ascii="Times New Roman" w:hAnsi="Times New Roman"/>
          <w:color w:val="646464"/>
          <w:sz w:val="15"/>
        </w:rPr>
        <w:t>Datacenter Westfalen GmbH · Speicherstraße 14, 44147 Dortmund</w:t>
      </w:r>
    </w:p>
    <w:p>
      <w:pPr>
        <w:spacing w:after="240"/>
      </w:pPr>
      <w:r>
        <w:t>Interne Rechts- und Bid-Akte</w:t>
      </w:r>
    </w:p>
    <w:p>
      <w:pPr>
        <w:pStyle w:val="Title"/>
      </w:pPr>
      <w:r>
        <w:t>Prüfung Vergabeunterlagen und Wertungsmatrix</w:t>
      </w:r>
    </w:p>
    <w:p>
      <w:pPr>
        <w:pStyle w:val="Heading1"/>
      </w:pPr>
      <w:r>
        <w:t>1. Unterlagenbestand</w:t>
      </w:r>
    </w:p>
    <w:tbl>
      <w:tblPr>
        <w:tblStyle w:val="TableGrid"/>
        <w:tblW w:type="dxa" w:w="9071"/>
        <w:jc w:val="left"/>
        <w:tblLayout w:type="fixed"/>
        <w:tblLook w:firstColumn="1" w:firstRow="1" w:lastColumn="0" w:lastRow="0" w:noHBand="0" w:noVBand="1" w:val="04A0"/>
      </w:tblPr>
      <w:tblGrid>
        <w:gridCol w:w="3520"/>
        <w:gridCol w:w="2037"/>
        <w:gridCol w:w="3514"/>
      </w:tblGrid>
      <w:tr>
        <w:trPr>
          <w:tblHeader w:val="true"/>
          <w:cantSplit/>
        </w:trPr>
        <w:tc>
          <w:tcPr>
            <w:tcW w:type="dxa" w:w="3520"/>
            <w:vAlign w:val="top"/>
            <w:tcMar>
              <w:top w:w="60" w:type="dxa"/>
              <w:start w:w="90" w:type="dxa"/>
              <w:bottom w:w="60" w:type="dxa"/>
              <w:end w:w="90" w:type="dxa"/>
            </w:tcMar>
            <w:shd w:fill="01696F"/>
          </w:tcPr>
          <w:p>
            <w:pPr>
              <w:keepLines/>
              <w:spacing w:after="0"/>
            </w:pPr>
            <w:r/>
            <w:r>
              <w:rPr>
                <w:rFonts w:ascii="Times New Roman" w:hAnsi="Times New Roman"/>
                <w:b/>
                <w:color w:val="FFFFFF"/>
                <w:sz w:val="17"/>
              </w:rPr>
              <w:t>Datei</w:t>
            </w:r>
          </w:p>
        </w:tc>
        <w:tc>
          <w:tcPr>
            <w:tcW w:type="dxa" w:w="2037"/>
            <w:vAlign w:val="top"/>
            <w:tcMar>
              <w:top w:w="60" w:type="dxa"/>
              <w:start w:w="90" w:type="dxa"/>
              <w:bottom w:w="60" w:type="dxa"/>
              <w:end w:w="90" w:type="dxa"/>
            </w:tcMar>
            <w:shd w:fill="01696F"/>
          </w:tcPr>
          <w:p>
            <w:pPr>
              <w:keepLines/>
              <w:spacing w:after="0"/>
            </w:pPr>
            <w:r/>
            <w:r>
              <w:rPr>
                <w:rFonts w:ascii="Times New Roman" w:hAnsi="Times New Roman"/>
                <w:b/>
                <w:color w:val="FFFFFF"/>
                <w:sz w:val="17"/>
              </w:rPr>
              <w:t>Version</w:t>
            </w:r>
          </w:p>
        </w:tc>
        <w:tc>
          <w:tcPr>
            <w:tcW w:type="dxa" w:w="3514"/>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Prüfung</w:t>
            </w:r>
          </w:p>
        </w:tc>
      </w:tr>
      <w:tr>
        <w:trPr>
          <w:cantSplit/>
        </w:trPr>
        <w:tc>
          <w:tcPr>
            <w:tcW w:type="dxa" w:w="3520"/>
            <w:vAlign w:val="top"/>
            <w:tcMar>
              <w:top w:w="60" w:type="dxa"/>
              <w:start w:w="90" w:type="dxa"/>
              <w:bottom w:w="60" w:type="dxa"/>
              <w:end w:w="90" w:type="dxa"/>
            </w:tcMar>
          </w:tcPr>
          <w:p>
            <w:pPr>
              <w:keepLines/>
              <w:spacing w:after="0"/>
            </w:pPr>
            <w:r/>
            <w:r>
              <w:rPr>
                <w:rFonts w:ascii="Times New Roman" w:hAnsi="Times New Roman"/>
                <w:sz w:val="17"/>
              </w:rPr>
              <w:t>Leistungsbeschreibung_RZ_Betrieb.pdf</w:t>
            </w:r>
          </w:p>
        </w:tc>
        <w:tc>
          <w:tcPr>
            <w:tcW w:type="dxa" w:w="2037"/>
            <w:vAlign w:val="top"/>
            <w:tcMar>
              <w:top w:w="60" w:type="dxa"/>
              <w:start w:w="90" w:type="dxa"/>
              <w:bottom w:w="60" w:type="dxa"/>
              <w:end w:w="90" w:type="dxa"/>
            </w:tcMar>
          </w:tcPr>
          <w:p>
            <w:pPr>
              <w:keepLines/>
              <w:spacing w:after="0"/>
            </w:pPr>
            <w:r/>
            <w:r>
              <w:rPr>
                <w:rFonts w:ascii="Times New Roman" w:hAnsi="Times New Roman"/>
                <w:sz w:val="17"/>
              </w:rPr>
              <w:t>1.0</w:t>
            </w:r>
          </w:p>
        </w:tc>
        <w:tc>
          <w:tcPr>
            <w:tcW w:type="dxa" w:w="3514"/>
            <w:vAlign w:val="top"/>
            <w:tcMar>
              <w:top w:w="60" w:type="dxa"/>
              <w:start w:w="90" w:type="dxa"/>
              <w:bottom w:w="60" w:type="dxa"/>
              <w:end w:w="90" w:type="dxa"/>
            </w:tcMar>
          </w:tcPr>
          <w:p>
            <w:pPr>
              <w:keepLines/>
              <w:spacing w:after="0"/>
            </w:pPr>
            <w:r/>
            <w:r>
              <w:rPr>
                <w:rFonts w:ascii="Times New Roman" w:hAnsi="Times New Roman"/>
                <w:sz w:val="17"/>
              </w:rPr>
              <w:t>Technische Mindestanforderungen vollständig lesbar</w:t>
            </w:r>
          </w:p>
        </w:tc>
      </w:tr>
      <w:tr>
        <w:trPr>
          <w:cantSplit/>
        </w:trPr>
        <w:tc>
          <w:tcPr>
            <w:tcW w:type="dxa" w:w="3520"/>
            <w:vAlign w:val="top"/>
            <w:tcMar>
              <w:top w:w="60" w:type="dxa"/>
              <w:start w:w="90" w:type="dxa"/>
              <w:bottom w:w="60" w:type="dxa"/>
              <w:end w:w="90" w:type="dxa"/>
            </w:tcMar>
            <w:shd w:fill="F1F3F3"/>
          </w:tcPr>
          <w:p>
            <w:pPr>
              <w:keepLines/>
              <w:spacing w:after="0"/>
            </w:pPr>
            <w:r/>
            <w:r>
              <w:rPr>
                <w:rFonts w:ascii="Times New Roman" w:hAnsi="Times New Roman"/>
                <w:sz w:val="17"/>
              </w:rPr>
              <w:t>Preisblatt_RZ_Betrieb.xlsx</w:t>
            </w:r>
          </w:p>
        </w:tc>
        <w:tc>
          <w:tcPr>
            <w:tcW w:type="dxa" w:w="2037"/>
            <w:vAlign w:val="top"/>
            <w:tcMar>
              <w:top w:w="60" w:type="dxa"/>
              <w:start w:w="90" w:type="dxa"/>
              <w:bottom w:w="60" w:type="dxa"/>
              <w:end w:w="90" w:type="dxa"/>
            </w:tcMar>
            <w:shd w:fill="F1F3F3"/>
          </w:tcPr>
          <w:p>
            <w:pPr>
              <w:keepLines/>
              <w:spacing w:after="0"/>
            </w:pPr>
            <w:r/>
            <w:r>
              <w:rPr>
                <w:rFonts w:ascii="Times New Roman" w:hAnsi="Times New Roman"/>
                <w:sz w:val="17"/>
              </w:rPr>
              <w:t>1.0</w:t>
            </w:r>
          </w:p>
        </w:tc>
        <w:tc>
          <w:tcPr>
            <w:tcW w:type="dxa" w:w="3514"/>
            <w:vAlign w:val="top"/>
            <w:tcMar>
              <w:top w:w="60" w:type="dxa"/>
              <w:start w:w="90" w:type="dxa"/>
              <w:bottom w:w="60" w:type="dxa"/>
              <w:end w:w="90" w:type="dxa"/>
            </w:tcMar>
            <w:shd w:fill="F1F3F3"/>
          </w:tcPr>
          <w:p>
            <w:pPr>
              <w:keepLines/>
              <w:spacing w:after="0"/>
            </w:pPr>
            <w:r/>
            <w:r>
              <w:rPr>
                <w:rFonts w:ascii="Times New Roman" w:hAnsi="Times New Roman"/>
                <w:sz w:val="17"/>
              </w:rPr>
              <w:t>Pflichtfelder plausibel</w:t>
            </w:r>
          </w:p>
        </w:tc>
      </w:tr>
      <w:tr>
        <w:trPr>
          <w:cantSplit/>
        </w:trPr>
        <w:tc>
          <w:tcPr>
            <w:tcW w:type="dxa" w:w="3520"/>
            <w:vAlign w:val="top"/>
            <w:tcMar>
              <w:top w:w="60" w:type="dxa"/>
              <w:start w:w="90" w:type="dxa"/>
              <w:bottom w:w="60" w:type="dxa"/>
              <w:end w:w="90" w:type="dxa"/>
            </w:tcMar>
          </w:tcPr>
          <w:p>
            <w:pPr>
              <w:keepLines/>
              <w:spacing w:after="0"/>
            </w:pPr>
            <w:r/>
            <w:r>
              <w:rPr>
                <w:rFonts w:ascii="Times New Roman" w:hAnsi="Times New Roman"/>
                <w:sz w:val="17"/>
              </w:rPr>
              <w:t>Zuschlagsmatrix_RZ_Betrieb.pdf</w:t>
            </w:r>
          </w:p>
        </w:tc>
        <w:tc>
          <w:tcPr>
            <w:tcW w:type="dxa" w:w="2037"/>
            <w:vAlign w:val="top"/>
            <w:tcMar>
              <w:top w:w="60" w:type="dxa"/>
              <w:start w:w="90" w:type="dxa"/>
              <w:bottom w:w="60" w:type="dxa"/>
              <w:end w:w="90" w:type="dxa"/>
            </w:tcMar>
          </w:tcPr>
          <w:p>
            <w:pPr>
              <w:keepLines/>
              <w:spacing w:after="0"/>
            </w:pPr>
            <w:r/>
            <w:r>
              <w:rPr>
                <w:rFonts w:ascii="Times New Roman" w:hAnsi="Times New Roman"/>
                <w:sz w:val="17"/>
              </w:rPr>
              <w:t>1.0</w:t>
            </w:r>
          </w:p>
        </w:tc>
        <w:tc>
          <w:tcPr>
            <w:tcW w:type="dxa" w:w="3514"/>
            <w:vAlign w:val="top"/>
            <w:tcMar>
              <w:top w:w="60" w:type="dxa"/>
              <w:start w:w="90" w:type="dxa"/>
              <w:bottom w:w="60" w:type="dxa"/>
              <w:end w:w="90" w:type="dxa"/>
            </w:tcMar>
          </w:tcPr>
          <w:p>
            <w:pPr>
              <w:keepLines/>
              <w:spacing w:after="0"/>
            </w:pPr>
            <w:r/>
            <w:r>
              <w:rPr>
                <w:rFonts w:ascii="Times New Roman" w:hAnsi="Times New Roman"/>
                <w:sz w:val="17"/>
              </w:rPr>
              <w:t>Unterkriterien ZK-3 nicht vollständig erkennbar</w:t>
            </w:r>
          </w:p>
        </w:tc>
      </w:tr>
      <w:tr>
        <w:trPr>
          <w:cantSplit/>
        </w:trPr>
        <w:tc>
          <w:tcPr>
            <w:tcW w:type="dxa" w:w="3520"/>
            <w:vAlign w:val="top"/>
            <w:tcMar>
              <w:top w:w="60" w:type="dxa"/>
              <w:start w:w="90" w:type="dxa"/>
              <w:bottom w:w="60" w:type="dxa"/>
              <w:end w:w="90" w:type="dxa"/>
            </w:tcMar>
            <w:shd w:fill="F1F3F3"/>
          </w:tcPr>
          <w:p>
            <w:pPr>
              <w:keepLines/>
              <w:spacing w:after="0"/>
            </w:pPr>
            <w:r/>
            <w:r>
              <w:rPr>
                <w:rFonts w:ascii="Times New Roman" w:hAnsi="Times New Roman"/>
                <w:sz w:val="17"/>
              </w:rPr>
              <w:t>Vertragsentwurf_RZ_Betrieb.pdf</w:t>
            </w:r>
          </w:p>
        </w:tc>
        <w:tc>
          <w:tcPr>
            <w:tcW w:type="dxa" w:w="2037"/>
            <w:vAlign w:val="top"/>
            <w:tcMar>
              <w:top w:w="60" w:type="dxa"/>
              <w:start w:w="90" w:type="dxa"/>
              <w:bottom w:w="60" w:type="dxa"/>
              <w:end w:w="90" w:type="dxa"/>
            </w:tcMar>
            <w:shd w:fill="F1F3F3"/>
          </w:tcPr>
          <w:p>
            <w:pPr>
              <w:keepLines/>
              <w:spacing w:after="0"/>
            </w:pPr>
            <w:r/>
            <w:r>
              <w:rPr>
                <w:rFonts w:ascii="Times New Roman" w:hAnsi="Times New Roman"/>
                <w:sz w:val="17"/>
              </w:rPr>
              <w:t>1.0</w:t>
            </w:r>
          </w:p>
        </w:tc>
        <w:tc>
          <w:tcPr>
            <w:tcW w:type="dxa" w:w="3514"/>
            <w:vAlign w:val="top"/>
            <w:tcMar>
              <w:top w:w="60" w:type="dxa"/>
              <w:start w:w="90" w:type="dxa"/>
              <w:bottom w:w="60" w:type="dxa"/>
              <w:end w:w="90" w:type="dxa"/>
            </w:tcMar>
            <w:shd w:fill="F1F3F3"/>
          </w:tcPr>
          <w:p>
            <w:pPr>
              <w:keepLines/>
              <w:spacing w:after="0"/>
            </w:pPr>
            <w:r/>
            <w:r>
              <w:rPr>
                <w:rFonts w:ascii="Times New Roman" w:hAnsi="Times New Roman"/>
                <w:sz w:val="17"/>
              </w:rPr>
              <w:t>SLA-Regime enthalten</w:t>
            </w:r>
          </w:p>
        </w:tc>
      </w:tr>
      <w:tr>
        <w:trPr>
          <w:cantSplit/>
        </w:trPr>
        <w:tc>
          <w:tcPr>
            <w:tcW w:type="dxa" w:w="3520"/>
            <w:vAlign w:val="top"/>
            <w:tcMar>
              <w:top w:w="60" w:type="dxa"/>
              <w:start w:w="90" w:type="dxa"/>
              <w:bottom w:w="60" w:type="dxa"/>
              <w:end w:w="90" w:type="dxa"/>
            </w:tcMar>
          </w:tcPr>
          <w:p>
            <w:pPr>
              <w:keepLines/>
              <w:spacing w:after="0"/>
            </w:pPr>
            <w:r/>
            <w:r>
              <w:rPr>
                <w:rFonts w:ascii="Times New Roman" w:hAnsi="Times New Roman"/>
                <w:sz w:val="17"/>
              </w:rPr>
              <w:t>Portalnachricht_2026-07-28.pdf</w:t>
            </w:r>
          </w:p>
        </w:tc>
        <w:tc>
          <w:tcPr>
            <w:tcW w:type="dxa" w:w="2037"/>
            <w:vAlign w:val="top"/>
            <w:tcMar>
              <w:top w:w="60" w:type="dxa"/>
              <w:start w:w="90" w:type="dxa"/>
              <w:bottom w:w="60" w:type="dxa"/>
              <w:end w:w="90" w:type="dxa"/>
            </w:tcMar>
          </w:tcPr>
          <w:p>
            <w:pPr>
              <w:keepLines/>
              <w:spacing w:after="0"/>
            </w:pPr>
            <w:r/>
            <w:r>
              <w:rPr>
                <w:rFonts w:ascii="Times New Roman" w:hAnsi="Times New Roman"/>
                <w:sz w:val="17"/>
              </w:rPr>
              <w:t>1.0</w:t>
            </w:r>
          </w:p>
        </w:tc>
        <w:tc>
          <w:tcPr>
            <w:tcW w:type="dxa" w:w="3514"/>
            <w:vAlign w:val="top"/>
            <w:tcMar>
              <w:top w:w="60" w:type="dxa"/>
              <w:start w:w="90" w:type="dxa"/>
              <w:bottom w:w="60" w:type="dxa"/>
              <w:end w:w="90" w:type="dxa"/>
            </w:tcMar>
          </w:tcPr>
          <w:p>
            <w:pPr>
              <w:keepLines/>
              <w:spacing w:after="0"/>
            </w:pPr>
            <w:r/>
            <w:r>
              <w:rPr>
                <w:rFonts w:ascii="Times New Roman" w:hAnsi="Times New Roman"/>
                <w:sz w:val="17"/>
              </w:rPr>
              <w:t>Hinweis auf Pflicht zur PDF/ZIP-Abgabe</w:t>
            </w:r>
          </w:p>
        </w:tc>
      </w:tr>
    </w:tbl>
    <w:p>
      <w:pPr>
        <w:spacing w:after="0" w:before="40"/>
      </w:pPr>
    </w:p>
    <w:p>
      <w:pPr>
        <w:pStyle w:val="Heading1"/>
      </w:pPr>
      <w:r>
        <w:t>2. Auffälligkeit ZK-3</w:t>
      </w:r>
    </w:p>
    <w:p>
      <w:pPr>
        <w:keepNext/>
        <w:keepLines/>
      </w:pPr>
      <w:r>
        <w:t>ZK-3 Ausfallsicherheit ist mit 25 Prozent gewichtet. Bewertet werden sollen Redundanz, Notfallhandbuch, Wiederanlaufzeit und Nachweis der zweiten Betriebsstätte. Die Bewertungsmatrix nennt aber keine Gewichtung dieser Unterpunkte. Für Bieter ist nicht sicher vorhersehbar, ob ein starkes Notfallhandbuch eine schwächere zweite Betriebsstätte ausgleichen kann.</w:t>
      </w:r>
    </w:p>
    <w:p>
      <w:pPr>
        <w:pStyle w:val="Heading1"/>
        <w:keepNext/>
        <w:keepLines/>
      </w:pPr>
      <w:r>
        <w:t>3. Eignungsanforderung Referenzen</w:t>
      </w:r>
    </w:p>
    <w:p>
      <w:pPr>
        <w:keepNext/>
        <w:keepLines/>
      </w:pPr>
      <w:r>
        <w:t>Die Eignung verlangt zwei Referenzen über kommunale Rechenzentrumsleistungen mit 24/7-Betrieb. Datacenter Westfalen kann zwei Referenzen nachweisen. Für CloudNord AG ist öffentlich nur ein kommunaler Referenzauftrag bekannt; eine zweite Referenz betrifft privates Hosting ohne kommunale Fachverfahren.</w:t>
      </w:r>
    </w:p>
    <w:p>
      <w:pPr>
        <w:pStyle w:val="Heading1"/>
        <w:keepNext/>
        <w:keepLines/>
      </w:pPr>
      <w:r>
        <w:t>4. Entscheidung</w:t>
      </w:r>
    </w:p>
    <w:p>
      <w:pPr>
        <w:keepLines/>
      </w:pPr>
      <w:r>
        <w:t>Noch keine Rüge vor Angebotsfrist, weil der Angriff auf CloudNord erst bei Kenntnis der Zuschlagsentscheidung konkret wird. ZK-3 bleibt aber als potentiell intransparent markiert.</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DW-2026-RZ-011</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Datacenter Westfalen GmbH</w:t>
      <w:t xml:space="preserve">  |  DW-2026-RZ-011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Prüfung Vergabeunterlagen und Wertungsmatrix</dc:title>
  <dc:subject>Prüfbericht Unterlagen | Az. DW-2026-RZ-011</dc:subject>
  <dc:creator>Datacenter Westfalen GmbH</dc:creator>
  <cp:keywords>Vergaberecht, DW-2026-RZ-011, Prüfbericht Unterlagen</cp:keywords>
  <dc:description>generated by python-docx</dc:description>
  <cp:lastModifiedBy>Datacenter Westfalen GmbH</cp:lastModifiedBy>
  <cp:revision>1</cp:revision>
  <dcterms:created xsi:type="dcterms:W3CDTF">2000-01-01T00:00:00Z</dcterms:created>
  <dcterms:modified xsi:type="dcterms:W3CDTF">2000-01-01T00:00:00Z</dcterms:modified>
  <cp:category>Vergabeakte</cp:category>
</cp:coreProperties>
</file>