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Westfalen</w:t>
            </w:r>
          </w:p>
          <w:p>
            <w:pPr>
              <w:spacing w:after="0"/>
            </w:pPr>
            <w:r>
              <w:rPr>
                <w:color w:val="646464"/>
                <w:sz w:val="18"/>
              </w:rPr>
              <w:t>Albrecht-Thaer-Straße 9, 48147 Münster</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24.09.2026</w:t>
              <w:br/>
            </w:r>
            <w:r>
              <w:rPr>
                <w:rFonts w:ascii="Times New Roman" w:hAnsi="Times New Roman"/>
                <w:color w:val="646464"/>
                <w:sz w:val="18"/>
              </w:rPr>
              <w:t>Aktenzeichen: VK W 23-48/26</w:t>
              <w:br/>
            </w:r>
            <w:r>
              <w:rPr>
                <w:rFonts w:ascii="Times New Roman" w:hAnsi="Times New Roman"/>
                <w:color w:val="646464"/>
                <w:sz w:val="18"/>
              </w:rPr>
              <w:t>Akteneinsichtsverfügung</w:t>
            </w:r>
          </w:p>
        </w:tc>
      </w:tr>
    </w:tbl>
    <w:p>
      <w:pPr>
        <w:spacing w:before="200" w:after="40"/>
      </w:pPr>
      <w:r>
        <w:rPr>
          <w:rFonts w:ascii="Times New Roman" w:hAnsi="Times New Roman"/>
          <w:color w:val="646464"/>
          <w:sz w:val="15"/>
        </w:rPr>
        <w:t>Vergabekammer Westfalen · Albrecht-Thaer-Straße 9, 48147 Münster</w:t>
      </w:r>
    </w:p>
    <w:p>
      <w:pPr>
        <w:spacing w:after="240"/>
      </w:pPr>
      <w:r>
        <w:t>Beteiligte im Verfahren VK W 23-48/26</w:t>
      </w:r>
    </w:p>
    <w:p>
      <w:pPr>
        <w:pStyle w:val="Title"/>
      </w:pPr>
      <w:r>
        <w:t>Umfang der Akteneinsicht im Nachprüfungsverfahren Rechenzentrumsbetrieb Musterkreis</w:t>
      </w:r>
    </w:p>
    <w:p>
      <w:pPr>
        <w:pStyle w:val="Heading1"/>
      </w:pPr>
      <w:r>
        <w:t>Verfügung</w:t>
      </w:r>
    </w:p>
    <w:p>
      <w:pPr>
        <w:pStyle w:val="ListNumber"/>
      </w:pPr>
      <w:r>
        <w:t>Der Antragstellerin wird Einsicht in die nachstehend bezeichneten Teile der Vergabeakte gewährt.</w:t>
      </w:r>
    </w:p>
    <w:p>
      <w:pPr>
        <w:pStyle w:val="ListNumber"/>
      </w:pPr>
      <w:r>
        <w:t>Die Einsicht erfolgt über einen gesicherten Datenraum bis 26.09.2026, 18:00 Uhr.</w:t>
      </w:r>
    </w:p>
    <w:p>
      <w:pPr>
        <w:pStyle w:val="ListNumber"/>
      </w:pPr>
      <w:r>
        <w:t>Der Antragstellerin wird eine Frist zur Ergänzung ihres Vortrags bis 28.09.2026, 12:00 Uhr gesetzt.</w:t>
      </w:r>
    </w:p>
    <w:p>
      <w:pPr>
        <w:pStyle w:val="ListNumber"/>
      </w:pPr>
      <w:r>
        <w:t>Weitergehende Anträge werden vorläufig zurückgestellt; die Kammer entscheidet nach Prüfung der ungeschwärzten Originale.</w:t>
      </w:r>
    </w:p>
    <w:p>
      <w:pPr>
        <w:pStyle w:val="Heading1"/>
      </w:pPr>
      <w:r>
        <w:t>Abwägungsmatrix</w:t>
      </w:r>
    </w:p>
    <w:tbl>
      <w:tblPr>
        <w:tblStyle w:val="TableGrid"/>
        <w:tblW w:type="dxa" w:w="9071"/>
        <w:jc w:val="left"/>
        <w:tblLayout w:type="fixed"/>
        <w:tblLook w:firstColumn="1" w:firstRow="1" w:lastColumn="0" w:lastRow="0" w:noHBand="0" w:noVBand="1" w:val="04A0"/>
      </w:tblPr>
      <w:tblGrid>
        <w:gridCol w:w="2031"/>
        <w:gridCol w:w="1557"/>
        <w:gridCol w:w="2611"/>
        <w:gridCol w:w="2872"/>
      </w:tblGrid>
      <w:tr>
        <w:trPr>
          <w:tblHeader w:val="true"/>
          <w:cantSplit/>
        </w:trPr>
        <w:tc>
          <w:tcPr>
            <w:tcW w:type="dxa" w:w="203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Aktenstück</w:t>
            </w:r>
          </w:p>
        </w:tc>
        <w:tc>
          <w:tcPr>
            <w:tcW w:type="dxa" w:w="1557"/>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Freigabe</w:t>
            </w:r>
          </w:p>
        </w:tc>
        <w:tc>
          <w:tcPr>
            <w:tcW w:type="dxa" w:w="2611"/>
            <w:vAlign w:val="top"/>
            <w:tcMar>
              <w:top w:w="60" w:type="dxa"/>
              <w:start w:w="90" w:type="dxa"/>
              <w:bottom w:w="60" w:type="dxa"/>
              <w:end w:w="90" w:type="dxa"/>
            </w:tcMar>
            <w:shd w:fill="01696F"/>
          </w:tcPr>
          <w:p>
            <w:pPr>
              <w:keepLines/>
              <w:spacing w:after="0"/>
            </w:pPr>
            <w:r/>
            <w:r>
              <w:rPr>
                <w:rFonts w:ascii="Times New Roman" w:hAnsi="Times New Roman"/>
                <w:b/>
                <w:color w:val="FFFFFF"/>
                <w:sz w:val="17"/>
              </w:rPr>
              <w:t>Schwärzung</w:t>
            </w:r>
          </w:p>
        </w:tc>
        <w:tc>
          <w:tcPr>
            <w:tcW w:type="dxa" w:w="28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Begründung</w:t>
            </w:r>
          </w:p>
        </w:tc>
      </w:tr>
      <w:tr>
        <w:trPr>
          <w:cantSplit/>
        </w:trPr>
        <w:tc>
          <w:tcPr>
            <w:tcW w:type="dxa" w:w="2031"/>
            <w:vAlign w:val="top"/>
            <w:tcMar>
              <w:top w:w="60" w:type="dxa"/>
              <w:start w:w="90" w:type="dxa"/>
              <w:bottom w:w="60" w:type="dxa"/>
              <w:end w:w="90" w:type="dxa"/>
            </w:tcMar>
          </w:tcPr>
          <w:p>
            <w:pPr>
              <w:keepLines/>
              <w:spacing w:after="0"/>
            </w:pPr>
            <w:r/>
            <w:r>
              <w:rPr>
                <w:rFonts w:ascii="Times New Roman" w:hAnsi="Times New Roman"/>
                <w:sz w:val="17"/>
              </w:rPr>
              <w:t>Vergabevermerk Abschnitt Eignung</w:t>
            </w:r>
          </w:p>
        </w:tc>
        <w:tc>
          <w:tcPr>
            <w:tcW w:type="dxa" w:w="1557"/>
            <w:vAlign w:val="top"/>
            <w:tcMar>
              <w:top w:w="60" w:type="dxa"/>
              <w:start w:w="90" w:type="dxa"/>
              <w:bottom w:w="60" w:type="dxa"/>
              <w:end w:w="90" w:type="dxa"/>
            </w:tcMar>
          </w:tcPr>
          <w:p>
            <w:pPr>
              <w:keepLines/>
              <w:spacing w:after="0"/>
            </w:pPr>
            <w:r/>
            <w:r>
              <w:rPr>
                <w:rFonts w:ascii="Times New Roman" w:hAnsi="Times New Roman"/>
                <w:sz w:val="17"/>
              </w:rPr>
              <w:t>teilweise</w:t>
            </w:r>
          </w:p>
        </w:tc>
        <w:tc>
          <w:tcPr>
            <w:tcW w:type="dxa" w:w="2611"/>
            <w:vAlign w:val="top"/>
            <w:tcMar>
              <w:top w:w="60" w:type="dxa"/>
              <w:start w:w="90" w:type="dxa"/>
              <w:bottom w:w="60" w:type="dxa"/>
              <w:end w:w="90" w:type="dxa"/>
            </w:tcMar>
          </w:tcPr>
          <w:p>
            <w:pPr>
              <w:keepLines/>
              <w:spacing w:after="0"/>
            </w:pPr>
            <w:r/>
            <w:r>
              <w:rPr>
                <w:rFonts w:ascii="Times New Roman" w:hAnsi="Times New Roman"/>
                <w:sz w:val="17"/>
              </w:rPr>
              <w:t>Namen von Beschäftigten und nicht streitige Umsätze</w:t>
            </w:r>
          </w:p>
        </w:tc>
        <w:tc>
          <w:tcPr>
            <w:tcW w:type="dxa" w:w="2872"/>
            <w:vAlign w:val="top"/>
            <w:tcMar>
              <w:top w:w="60" w:type="dxa"/>
              <w:start w:w="90" w:type="dxa"/>
              <w:bottom w:w="60" w:type="dxa"/>
              <w:end w:w="90" w:type="dxa"/>
            </w:tcMar>
          </w:tcPr>
          <w:p>
            <w:pPr>
              <w:keepLines/>
              <w:spacing w:after="0"/>
            </w:pPr>
            <w:r/>
            <w:r>
              <w:rPr>
                <w:rFonts w:ascii="Times New Roman" w:hAnsi="Times New Roman"/>
                <w:sz w:val="17"/>
              </w:rPr>
              <w:t>tragende Eignungsentscheidung muss überprüfbar bleiben</w:t>
            </w:r>
          </w:p>
        </w:tc>
      </w:tr>
      <w:tr>
        <w:trPr>
          <w:cantSplit/>
        </w:trPr>
        <w:tc>
          <w:tcPr>
            <w:tcW w:type="dxa" w:w="2031"/>
            <w:vAlign w:val="top"/>
            <w:tcMar>
              <w:top w:w="60" w:type="dxa"/>
              <w:start w:w="90" w:type="dxa"/>
              <w:bottom w:w="60" w:type="dxa"/>
              <w:end w:w="90" w:type="dxa"/>
            </w:tcMar>
            <w:shd w:fill="F1F3F3"/>
          </w:tcPr>
          <w:p>
            <w:pPr>
              <w:keepLines/>
              <w:spacing w:after="0"/>
            </w:pPr>
            <w:r/>
            <w:r>
              <w:rPr>
                <w:rFonts w:ascii="Times New Roman" w:hAnsi="Times New Roman"/>
                <w:sz w:val="17"/>
              </w:rPr>
              <w:t>Referenzprüfung CloudNord</w:t>
            </w:r>
          </w:p>
        </w:tc>
        <w:tc>
          <w:tcPr>
            <w:tcW w:type="dxa" w:w="1557"/>
            <w:vAlign w:val="top"/>
            <w:tcMar>
              <w:top w:w="60" w:type="dxa"/>
              <w:start w:w="90" w:type="dxa"/>
              <w:bottom w:w="60" w:type="dxa"/>
              <w:end w:w="90" w:type="dxa"/>
            </w:tcMar>
            <w:shd w:fill="F1F3F3"/>
          </w:tcPr>
          <w:p>
            <w:pPr>
              <w:keepLines/>
              <w:spacing w:after="0"/>
            </w:pPr>
            <w:r/>
            <w:r>
              <w:rPr>
                <w:rFonts w:ascii="Times New Roman" w:hAnsi="Times New Roman"/>
                <w:sz w:val="17"/>
              </w:rPr>
              <w:t>teilweise</w:t>
            </w:r>
          </w:p>
        </w:tc>
        <w:tc>
          <w:tcPr>
            <w:tcW w:type="dxa" w:w="2611"/>
            <w:vAlign w:val="top"/>
            <w:tcMar>
              <w:top w:w="60" w:type="dxa"/>
              <w:start w:w="90" w:type="dxa"/>
              <w:bottom w:w="60" w:type="dxa"/>
              <w:end w:w="90" w:type="dxa"/>
            </w:tcMar>
            <w:shd w:fill="F1F3F3"/>
          </w:tcPr>
          <w:p>
            <w:pPr>
              <w:keepLines/>
              <w:spacing w:after="0"/>
            </w:pPr>
            <w:r/>
            <w:r>
              <w:rPr>
                <w:rFonts w:ascii="Times New Roman" w:hAnsi="Times New Roman"/>
                <w:sz w:val="17"/>
              </w:rPr>
              <w:t>Ansprechpartner, Vertragswerte, interne Systemnamen</w:t>
            </w:r>
          </w:p>
        </w:tc>
        <w:tc>
          <w:tcPr>
            <w:tcW w:type="dxa" w:w="2872"/>
            <w:vAlign w:val="top"/>
            <w:tcMar>
              <w:top w:w="60" w:type="dxa"/>
              <w:start w:w="90" w:type="dxa"/>
              <w:bottom w:w="60" w:type="dxa"/>
              <w:end w:w="90" w:type="dxa"/>
            </w:tcMar>
            <w:shd w:fill="F1F3F3"/>
          </w:tcPr>
          <w:p>
            <w:pPr>
              <w:keepLines/>
              <w:spacing w:after="0"/>
            </w:pPr>
            <w:r/>
            <w:r>
              <w:rPr>
                <w:rFonts w:ascii="Times New Roman" w:hAnsi="Times New Roman"/>
                <w:sz w:val="17"/>
              </w:rPr>
              <w:t>Leistungsinhalt, Laufzeit und 24/7-Umfang werden offengelegt</w:t>
            </w:r>
          </w:p>
        </w:tc>
      </w:tr>
      <w:tr>
        <w:trPr>
          <w:cantSplit/>
        </w:trPr>
        <w:tc>
          <w:tcPr>
            <w:tcW w:type="dxa" w:w="2031"/>
            <w:vAlign w:val="top"/>
            <w:tcMar>
              <w:top w:w="60" w:type="dxa"/>
              <w:start w:w="90" w:type="dxa"/>
              <w:bottom w:w="60" w:type="dxa"/>
              <w:end w:w="90" w:type="dxa"/>
            </w:tcMar>
          </w:tcPr>
          <w:p>
            <w:pPr>
              <w:keepLines/>
              <w:spacing w:after="0"/>
            </w:pPr>
            <w:r/>
            <w:r>
              <w:rPr>
                <w:rFonts w:ascii="Times New Roman" w:hAnsi="Times New Roman"/>
                <w:sz w:val="17"/>
              </w:rPr>
              <w:t>Wertungsvermerk ZK-3</w:t>
            </w:r>
          </w:p>
        </w:tc>
        <w:tc>
          <w:tcPr>
            <w:tcW w:type="dxa" w:w="1557"/>
            <w:vAlign w:val="top"/>
            <w:tcMar>
              <w:top w:w="60" w:type="dxa"/>
              <w:start w:w="90" w:type="dxa"/>
              <w:bottom w:w="60" w:type="dxa"/>
              <w:end w:w="90" w:type="dxa"/>
            </w:tcMar>
          </w:tcPr>
          <w:p>
            <w:pPr>
              <w:keepLines/>
              <w:spacing w:after="0"/>
            </w:pPr>
            <w:r/>
            <w:r>
              <w:rPr>
                <w:rFonts w:ascii="Times New Roman" w:hAnsi="Times New Roman"/>
                <w:sz w:val="17"/>
              </w:rPr>
              <w:t>weitgehend</w:t>
            </w:r>
          </w:p>
        </w:tc>
        <w:tc>
          <w:tcPr>
            <w:tcW w:type="dxa" w:w="2611"/>
            <w:vAlign w:val="top"/>
            <w:tcMar>
              <w:top w:w="60" w:type="dxa"/>
              <w:start w:w="90" w:type="dxa"/>
              <w:bottom w:w="60" w:type="dxa"/>
              <w:end w:w="90" w:type="dxa"/>
            </w:tcMar>
          </w:tcPr>
          <w:p>
            <w:pPr>
              <w:keepLines/>
              <w:spacing w:after="0"/>
            </w:pPr>
            <w:r/>
            <w:r>
              <w:rPr>
                <w:rFonts w:ascii="Times New Roman" w:hAnsi="Times New Roman"/>
                <w:sz w:val="17"/>
              </w:rPr>
              <w:t>konkrete Sicherheitsarchitektur</w:t>
            </w:r>
          </w:p>
        </w:tc>
        <w:tc>
          <w:tcPr>
            <w:tcW w:type="dxa" w:w="2872"/>
            <w:vAlign w:val="top"/>
            <w:tcMar>
              <w:top w:w="60" w:type="dxa"/>
              <w:start w:w="90" w:type="dxa"/>
              <w:bottom w:w="60" w:type="dxa"/>
              <w:end w:w="90" w:type="dxa"/>
            </w:tcMar>
          </w:tcPr>
          <w:p>
            <w:pPr>
              <w:keepLines/>
              <w:spacing w:after="0"/>
            </w:pPr>
            <w:r/>
            <w:r>
              <w:rPr>
                <w:rFonts w:ascii="Times New Roman" w:hAnsi="Times New Roman"/>
                <w:sz w:val="17"/>
              </w:rPr>
              <w:t>Punkte, Bewertungsmaßstab und tragende Erwägungen werden offengelegt</w:t>
            </w:r>
          </w:p>
        </w:tc>
      </w:tr>
      <w:tr>
        <w:trPr>
          <w:cantSplit/>
        </w:trPr>
        <w:tc>
          <w:tcPr>
            <w:tcW w:type="dxa" w:w="2031"/>
            <w:vAlign w:val="top"/>
            <w:tcMar>
              <w:top w:w="60" w:type="dxa"/>
              <w:start w:w="90" w:type="dxa"/>
              <w:bottom w:w="60" w:type="dxa"/>
              <w:end w:w="90" w:type="dxa"/>
            </w:tcMar>
            <w:shd w:fill="F1F3F3"/>
          </w:tcPr>
          <w:p>
            <w:pPr>
              <w:keepLines/>
              <w:spacing w:after="0"/>
            </w:pPr>
            <w:r/>
            <w:r>
              <w:rPr>
                <w:rFonts w:ascii="Times New Roman" w:hAnsi="Times New Roman"/>
                <w:sz w:val="17"/>
              </w:rPr>
              <w:t>Aufklärungsfrage vom 31.08.2026</w:t>
            </w:r>
          </w:p>
        </w:tc>
        <w:tc>
          <w:tcPr>
            <w:tcW w:type="dxa" w:w="1557"/>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c>
          <w:tcPr>
            <w:tcW w:type="dxa" w:w="2611"/>
            <w:vAlign w:val="top"/>
            <w:tcMar>
              <w:top w:w="60" w:type="dxa"/>
              <w:start w:w="90" w:type="dxa"/>
              <w:bottom w:w="60" w:type="dxa"/>
              <w:end w:w="90" w:type="dxa"/>
            </w:tcMar>
            <w:shd w:fill="F1F3F3"/>
          </w:tcPr>
          <w:p>
            <w:pPr>
              <w:keepLines/>
              <w:spacing w:after="0"/>
            </w:pPr>
            <w:r/>
            <w:r>
              <w:rPr>
                <w:rFonts w:ascii="Times New Roman" w:hAnsi="Times New Roman"/>
                <w:sz w:val="17"/>
              </w:rPr>
              <w:t>keine</w:t>
            </w:r>
          </w:p>
        </w:tc>
        <w:tc>
          <w:tcPr>
            <w:tcW w:type="dxa" w:w="2872"/>
            <w:vAlign w:val="top"/>
            <w:tcMar>
              <w:top w:w="60" w:type="dxa"/>
              <w:start w:w="90" w:type="dxa"/>
              <w:bottom w:w="60" w:type="dxa"/>
              <w:end w:w="90" w:type="dxa"/>
            </w:tcMar>
            <w:shd w:fill="F1F3F3"/>
          </w:tcPr>
          <w:p>
            <w:pPr>
              <w:keepLines/>
              <w:spacing w:after="0"/>
            </w:pPr>
            <w:r/>
            <w:r>
              <w:rPr>
                <w:rFonts w:ascii="Times New Roman" w:hAnsi="Times New Roman"/>
                <w:sz w:val="17"/>
              </w:rPr>
              <w:t>Wortlaut und Zeitpunkt sind entscheidungserheblich</w:t>
            </w:r>
          </w:p>
        </w:tc>
      </w:tr>
      <w:tr>
        <w:trPr>
          <w:cantSplit/>
        </w:trPr>
        <w:tc>
          <w:tcPr>
            <w:tcW w:type="dxa" w:w="2031"/>
            <w:vAlign w:val="top"/>
            <w:tcMar>
              <w:top w:w="60" w:type="dxa"/>
              <w:start w:w="90" w:type="dxa"/>
              <w:bottom w:w="60" w:type="dxa"/>
              <w:end w:w="90" w:type="dxa"/>
            </w:tcMar>
          </w:tcPr>
          <w:p>
            <w:pPr>
              <w:keepLines/>
              <w:spacing w:after="0"/>
            </w:pPr>
            <w:r/>
            <w:r>
              <w:rPr>
                <w:rFonts w:ascii="Times New Roman" w:hAnsi="Times New Roman"/>
                <w:sz w:val="17"/>
              </w:rPr>
              <w:t>Antwort CloudNord vom 02.09.2026</w:t>
            </w:r>
          </w:p>
        </w:tc>
        <w:tc>
          <w:tcPr>
            <w:tcW w:type="dxa" w:w="1557"/>
            <w:vAlign w:val="top"/>
            <w:tcMar>
              <w:top w:w="60" w:type="dxa"/>
              <w:start w:w="90" w:type="dxa"/>
              <w:bottom w:w="60" w:type="dxa"/>
              <w:end w:w="90" w:type="dxa"/>
            </w:tcMar>
          </w:tcPr>
          <w:p>
            <w:pPr>
              <w:keepLines/>
              <w:spacing w:after="0"/>
            </w:pPr>
            <w:r/>
            <w:r>
              <w:rPr>
                <w:rFonts w:ascii="Times New Roman" w:hAnsi="Times New Roman"/>
                <w:sz w:val="17"/>
              </w:rPr>
              <w:t>teilweise</w:t>
            </w:r>
          </w:p>
        </w:tc>
        <w:tc>
          <w:tcPr>
            <w:tcW w:type="dxa" w:w="2611"/>
            <w:vAlign w:val="top"/>
            <w:tcMar>
              <w:top w:w="60" w:type="dxa"/>
              <w:start w:w="90" w:type="dxa"/>
              <w:bottom w:w="60" w:type="dxa"/>
              <w:end w:w="90" w:type="dxa"/>
            </w:tcMar>
          </w:tcPr>
          <w:p>
            <w:pPr>
              <w:keepLines/>
              <w:spacing w:after="0"/>
            </w:pPr>
            <w:r/>
            <w:r>
              <w:rPr>
                <w:rFonts w:ascii="Times New Roman" w:hAnsi="Times New Roman"/>
                <w:sz w:val="17"/>
              </w:rPr>
              <w:t>Netzadressen und Gebäudesicherung</w:t>
            </w:r>
          </w:p>
        </w:tc>
        <w:tc>
          <w:tcPr>
            <w:tcW w:type="dxa" w:w="2872"/>
            <w:vAlign w:val="top"/>
            <w:tcMar>
              <w:top w:w="60" w:type="dxa"/>
              <w:start w:w="90" w:type="dxa"/>
              <w:bottom w:w="60" w:type="dxa"/>
              <w:end w:w="90" w:type="dxa"/>
            </w:tcMar>
          </w:tcPr>
          <w:p>
            <w:pPr>
              <w:keepLines/>
              <w:spacing w:after="0"/>
            </w:pPr>
            <w:r/>
            <w:r>
              <w:rPr>
                <w:rFonts w:ascii="Times New Roman" w:hAnsi="Times New Roman"/>
                <w:sz w:val="17"/>
              </w:rPr>
              <w:t>Umfang der nachgereichten Angaben bleibt erkennbar</w:t>
            </w:r>
          </w:p>
        </w:tc>
      </w:tr>
      <w:tr>
        <w:trPr>
          <w:cantSplit/>
        </w:trPr>
        <w:tc>
          <w:tcPr>
            <w:tcW w:type="dxa" w:w="2031"/>
            <w:vAlign w:val="top"/>
            <w:tcMar>
              <w:top w:w="60" w:type="dxa"/>
              <w:start w:w="90" w:type="dxa"/>
              <w:bottom w:w="60" w:type="dxa"/>
              <w:end w:w="90" w:type="dxa"/>
            </w:tcMar>
            <w:shd w:fill="F1F3F3"/>
          </w:tcPr>
          <w:p>
            <w:pPr>
              <w:keepLines/>
              <w:spacing w:after="0"/>
            </w:pPr>
            <w:r/>
            <w:r>
              <w:rPr>
                <w:rFonts w:ascii="Times New Roman" w:hAnsi="Times New Roman"/>
                <w:sz w:val="17"/>
              </w:rPr>
              <w:t>Preisblatt CloudNord</w:t>
            </w:r>
          </w:p>
        </w:tc>
        <w:tc>
          <w:tcPr>
            <w:tcW w:type="dxa" w:w="1557"/>
            <w:vAlign w:val="top"/>
            <w:tcMar>
              <w:top w:w="60" w:type="dxa"/>
              <w:start w:w="90" w:type="dxa"/>
              <w:bottom w:w="60" w:type="dxa"/>
              <w:end w:w="90" w:type="dxa"/>
            </w:tcMar>
            <w:shd w:fill="F1F3F3"/>
          </w:tcPr>
          <w:p>
            <w:pPr>
              <w:keepLines/>
              <w:spacing w:after="0"/>
            </w:pPr>
            <w:r/>
            <w:r>
              <w:rPr>
                <w:rFonts w:ascii="Times New Roman" w:hAnsi="Times New Roman"/>
                <w:sz w:val="17"/>
              </w:rPr>
              <w:t>keine Einsicht</w:t>
            </w:r>
          </w:p>
        </w:tc>
        <w:tc>
          <w:tcPr>
            <w:tcW w:type="dxa" w:w="2611"/>
            <w:vAlign w:val="top"/>
            <w:tcMar>
              <w:top w:w="60" w:type="dxa"/>
              <w:start w:w="90" w:type="dxa"/>
              <w:bottom w:w="60" w:type="dxa"/>
              <w:end w:w="90" w:type="dxa"/>
            </w:tcMar>
            <w:shd w:fill="F1F3F3"/>
          </w:tcPr>
          <w:p>
            <w:pPr>
              <w:keepLines/>
              <w:spacing w:after="0"/>
            </w:pPr>
            <w:r/>
            <w:r>
              <w:rPr>
                <w:rFonts w:ascii="Times New Roman" w:hAnsi="Times New Roman"/>
                <w:sz w:val="17"/>
              </w:rPr>
              <w:t>vollständig</w:t>
            </w:r>
          </w:p>
        </w:tc>
        <w:tc>
          <w:tcPr>
            <w:tcW w:type="dxa" w:w="2872"/>
            <w:vAlign w:val="top"/>
            <w:tcMar>
              <w:top w:w="60" w:type="dxa"/>
              <w:start w:w="90" w:type="dxa"/>
              <w:bottom w:w="60" w:type="dxa"/>
              <w:end w:w="90" w:type="dxa"/>
            </w:tcMar>
            <w:shd w:fill="F1F3F3"/>
          </w:tcPr>
          <w:p>
            <w:pPr>
              <w:keepLines/>
              <w:spacing w:after="0"/>
            </w:pPr>
            <w:r/>
            <w:r>
              <w:rPr>
                <w:rFonts w:ascii="Times New Roman" w:hAnsi="Times New Roman"/>
                <w:sz w:val="17"/>
              </w:rPr>
              <w:t>Preiswertung ist nicht angegriffen; derzeit kein Erkenntniswert</w:t>
            </w:r>
          </w:p>
        </w:tc>
      </w:tr>
    </w:tbl>
    <w:p>
      <w:pPr>
        <w:spacing w:after="0" w:before="40"/>
      </w:pPr>
    </w:p>
    <w:p>
      <w:pPr>
        <w:pStyle w:val="Heading1"/>
      </w:pPr>
      <w:r>
        <w:t>Gründe</w:t>
      </w:r>
    </w:p>
    <w:p>
      <w:pPr>
        <w:keepNext/>
        <w:keepLines/>
      </w:pPr>
      <w:r>
        <w:t>Nach § 165 GWB haben die Beteiligten Zugang zu den entscheidungserheblichen Akten, soweit nicht wichtige Gründe, insbesondere der Schutz von Geheimnissen, entgegenstehen. Ein pauschaler Geheimhaltungsvermerk genügt nicht. Zugleich vermittelt das Nachprüfungsverfahren keinen Anspruch auf Offenlegung technischer Sicherheitsdetails, die für die Rechtsverfolgung nicht benötigt werden.</w:t>
      </w:r>
    </w:p>
    <w:p>
      <w:pPr>
        <w:keepNext/>
        <w:keepLines/>
      </w:pPr>
      <w:r>
        <w:t>Die Kammer hat die ungeschwärzten Unterlagen eingesehen. Die Schwärzungen werden so begrenzt, dass Referenzvergleich, zeitlicher Ablauf der Aufklärung und tragende Wertungserwägungen nachvollzogen werden können. Die Beigeladene hat für jede Schwärzung einen konkreten Geheimhaltungsgrund benannt.</w:t>
      </w:r>
    </w:p>
    <w:p>
      <w:pPr>
        <w:pStyle w:val="Heading1"/>
        <w:keepNext/>
        <w:keepLines/>
      </w:pPr>
      <w:r>
        <w:t>Datenraumprotokoll</w:t>
      </w:r>
    </w:p>
    <w:p>
      <w:pPr>
        <w:keepLines/>
      </w:pPr>
      <w:r>
        <w:t>Der Datenraum enthält eine Indexdatei mit Dateiname, Aktenfundstelle, Versionsstand und Hashwert. Abrufzeitpunkt und heruntergeladene Dateien werden protokolliert. Die Unterlagen dürfen ausschließlich für dieses Nachprüfungs- und ein anschließendes Beschwerdeverfahren verwendet werden.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W 23-48/26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Westfalen</w:t>
      <w:t xml:space="preserve">  |  VK W 23-48/26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Umfang der Akteneinsicht im Nachprüfungsverfahren Rechenzentrumsbetrieb Musterkreis</dc:title>
  <dc:subject>Akteneinsichtsverfügung | Az. VK W 23-48/26</dc:subject>
  <dc:creator>Vergabekammer Westfalen</dc:creator>
  <cp:keywords>Vergaberecht, VK W 23-48/26, Akteneinsichtsverfügung</cp:keywords>
  <dc:description>generated by python-docx</dc:description>
  <cp:lastModifiedBy>Vergabekammer Westfalen</cp:lastModifiedBy>
  <cp:revision>1</cp:revision>
  <dcterms:created xsi:type="dcterms:W3CDTF">2000-01-01T00:00:00Z</dcterms:created>
  <dcterms:modified xsi:type="dcterms:W3CDTF">2000-01-01T00:00:00Z</dcterms:modified>
  <cp:category>Vergabeakte</cp:category>
</cp:coreProperties>
</file>