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Datacenter Westfalen GmbH</w:t>
            </w:r>
          </w:p>
          <w:p>
            <w:pPr>
              <w:spacing w:after="0"/>
            </w:pPr>
            <w:r>
              <w:rPr>
                <w:color w:val="646464"/>
                <w:sz w:val="18"/>
              </w:rPr>
              <w:t>Speicherstraße 14, 44147 Dortmund</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06.10.2026</w:t>
              <w:br/>
            </w:r>
            <w:r>
              <w:rPr>
                <w:rFonts w:ascii="Times New Roman" w:hAnsi="Times New Roman"/>
                <w:color w:val="646464"/>
                <w:sz w:val="18"/>
              </w:rPr>
              <w:t>Aktenzeichen: Verg 11/26 / DW-2026-RZ-011</w:t>
              <w:br/>
            </w:r>
            <w:r>
              <w:rPr>
                <w:rFonts w:ascii="Times New Roman" w:hAnsi="Times New Roman"/>
                <w:color w:val="646464"/>
                <w:sz w:val="18"/>
              </w:rPr>
              <w:t>Sofortige Beschwerde</w:t>
            </w:r>
          </w:p>
        </w:tc>
      </w:tr>
    </w:tbl>
    <w:p>
      <w:pPr>
        <w:spacing w:before="200" w:after="40"/>
      </w:pPr>
      <w:r>
        <w:rPr>
          <w:rFonts w:ascii="Times New Roman" w:hAnsi="Times New Roman"/>
          <w:color w:val="646464"/>
          <w:sz w:val="15"/>
        </w:rPr>
        <w:t>Datacenter Westfalen GmbH · Speicherstraße 14, 44147 Dortmund</w:t>
      </w:r>
    </w:p>
    <w:p>
      <w:pPr>
        <w:spacing w:after="240"/>
      </w:pPr>
      <w:r>
        <w:t>Oberlandesgericht Düsseldorf - Vergabesenat</w:t>
      </w:r>
    </w:p>
    <w:p>
      <w:pPr>
        <w:pStyle w:val="Title"/>
      </w:pPr>
      <w:r>
        <w:t>Sofortige Beschwerde gegen den Beschluss VK W 23-48/26</w:t>
      </w:r>
    </w:p>
    <w:p>
      <w:pPr>
        <w:pStyle w:val="Heading1"/>
      </w:pPr>
      <w:r>
        <w:t>Anträge</w:t>
      </w:r>
    </w:p>
    <w:p>
      <w:r>
        <w:t>Die Beschwerdeführerin beantragt,</w:t>
      </w:r>
    </w:p>
    <w:p>
      <w:pPr>
        <w:pStyle w:val="ListNumber"/>
      </w:pPr>
      <w:r>
        <w:t>den am 30.09.2026 zugestellten Beschluss der Vergabekammer aufzuheben, soweit der Nachprüfungsantrag zurückgewiesen wurde;</w:t>
      </w:r>
    </w:p>
    <w:p>
      <w:pPr>
        <w:pStyle w:val="ListNumber"/>
      </w:pPr>
      <w:r>
        <w:t>dem Musterkreis zu untersagen, auf das Angebot der CloudNord AG den Zuschlag zu erteilen;</w:t>
      </w:r>
    </w:p>
    <w:p>
      <w:pPr>
        <w:pStyle w:val="ListNumber"/>
      </w:pPr>
      <w:r>
        <w:t>den Musterkreis zu verpflichten, das Vergabeverfahren in den Stand vor Eignungs- und Wertungsprüfung zurückzuversetzen und die Angebote unter Beachtung der Rechtsauffassung des Senats neu zu prüfen;</w:t>
      </w:r>
    </w:p>
    <w:p>
      <w:pPr>
        <w:pStyle w:val="ListNumber"/>
      </w:pPr>
      <w:r>
        <w:t>hilfsweise festzustellen, dass die Beschwerdeführerin durch die bisherige Eignungs- und Wertungsentscheidung in ihren Rechten verletzt ist.</w:t>
      </w:r>
    </w:p>
    <w:p>
      <w:pPr>
        <w:pStyle w:val="Heading1"/>
      </w:pPr>
      <w:r>
        <w:t>Frist, Form und Wirkung</w:t>
      </w:r>
    </w:p>
    <w:p>
      <w:r>
        <w:t>Das Verfahren begann am 22.07.2026. Nach § 187 Abs. 2 GWB gelten die seit 01.07.2026 maßgeblichen Rechtsschutzvorschriften. Die Beschwerde wird innerhalb der Zwei-Wochen-Notfrist des § 172 Abs. 1 GWB schriftlich eingelegt und zugleich mit Tatsachen und Beweismitteln begründet. Die übrigen Beteiligten erhalten zeitgleich eine Ausfertigung.</w:t>
      </w:r>
    </w:p>
    <w:p>
      <w:r>
        <w:t>Da die Vergabekammer den Nachprüfungsantrag insoweit abgelehnt hat, besitzt die Beschwerde nach § 173 Abs. 1 GWB keine aufschiebende Wirkung. Ein Verlängerungsantrag nach der bis 30.06.2026 geltenden Fassung wird nicht gestellt. Die Beschwerdeführerin weist deshalb auf das konkrete Zuschlagsrisiko hin und bittet um unverzügliche Verfahrensleitung.</w:t>
      </w:r>
    </w:p>
    <w:p>
      <w:pPr>
        <w:pStyle w:val="Heading1"/>
      </w:pPr>
      <w:r>
        <w:t>Beschwerdeangriffe</w:t>
      </w:r>
    </w:p>
    <w:p>
      <w:pPr>
        <w:pStyle w:val="Heading2"/>
      </w:pPr>
      <w:r>
        <w:t>1. Unveröffentlichte Gewichtung</w:t>
      </w:r>
    </w:p>
    <w:p>
      <w:r>
        <w:t>Die Vergabestelle hat die vier Gesichtspunkte des Kriteriums ZK-3 intern gleich gewichtet. Aus den Vergabeunterlagen war weder diese Gewichtung noch erkennbar, dass ein Gesichtspunkt Defizite eines anderen vollständig ausgleichen kann. Die Wertung beruht damit auf einem nicht hinreichend transparenten Maßstab.</w:t>
      </w:r>
    </w:p>
    <w:p>
      <w:pPr>
        <w:pStyle w:val="Heading2"/>
      </w:pPr>
      <w:r>
        <w:t>2. Zweitstandort und Angebotsänderung</w:t>
      </w:r>
    </w:p>
    <w:p>
      <w:pPr>
        <w:keepNext/>
        <w:keepLines/>
      </w:pPr>
      <w:r>
        <w:t>Das Originalangebot bezeichnete keinen konkreten, verbindlich verfügbaren Ausweichstandort. Erst die Antwort vom 02.09.2026 nannte die Adresse und ordnete die technische Ressource dem Angebot zu. § 15 Abs. 5 VgV erlaubt Aufklärung, nicht aber eine nachträgliche materielle Verbesserung oder Vervollständigung des Angebots.</w:t>
      </w:r>
    </w:p>
    <w:p>
      <w:pPr>
        <w:pStyle w:val="Heading2"/>
        <w:keepNext/>
        <w:keepLines/>
      </w:pPr>
      <w:r>
        <w:t>3. Referenzvergleich</w:t>
      </w:r>
    </w:p>
    <w:p>
      <w:pPr>
        <w:keepNext/>
        <w:keepLines/>
      </w:pPr>
      <w:r>
        <w:t>Die zweite Referenz der Beigeladenen betrifft privates Hosting. Die Vergabeunterlagen verlangten zwei kommunale 24/7-Rechenzentrumsleistungen. Die Vergabeakte legt nicht dar, anhand welcher Inhalte, Umfänge und Komplexitätsmerkmale die private Referenz dennoch die bekannt gemachte Mindestanforderung erfüllt.</w:t>
      </w:r>
    </w:p>
    <w:p>
      <w:pPr>
        <w:pStyle w:val="Heading1"/>
        <w:keepNext/>
        <w:keepLines/>
      </w:pPr>
      <w:r>
        <w:t>Beweismatrix</w:t>
      </w:r>
    </w:p>
    <w:tbl>
      <w:tblPr>
        <w:tblStyle w:val="TableGrid"/>
        <w:tblW w:type="dxa" w:w="9071"/>
        <w:jc w:val="left"/>
        <w:tblLayout w:type="fixed"/>
        <w:tblLook w:firstColumn="1" w:firstRow="1" w:lastColumn="0" w:lastRow="0" w:noHBand="0" w:noVBand="1" w:val="04A0"/>
      </w:tblPr>
      <w:tblGrid>
        <w:gridCol w:w="3024"/>
        <w:gridCol w:w="3042"/>
        <w:gridCol w:w="3005"/>
      </w:tblGrid>
      <w:tr>
        <w:trPr>
          <w:tblHeader w:val="true"/>
          <w:cantSplit/>
        </w:trPr>
        <w:tc>
          <w:tcPr>
            <w:tcW w:type="dxa" w:w="3024"/>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Behauptung</w:t>
            </w:r>
          </w:p>
        </w:tc>
        <w:tc>
          <w:tcPr>
            <w:tcW w:type="dxa" w:w="304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Beweismittel</w:t>
            </w:r>
          </w:p>
        </w:tc>
        <w:tc>
          <w:tcPr>
            <w:tcW w:type="dxa" w:w="3005"/>
            <w:vAlign w:val="top"/>
            <w:tcMar>
              <w:top w:w="60" w:type="dxa"/>
              <w:start w:w="90" w:type="dxa"/>
              <w:bottom w:w="60" w:type="dxa"/>
              <w:end w:w="90" w:type="dxa"/>
            </w:tcMar>
            <w:shd w:fill="01696F"/>
          </w:tcPr>
          <w:p>
            <w:pPr>
              <w:keepLines/>
              <w:spacing w:after="0"/>
            </w:pPr>
            <w:r/>
            <w:r>
              <w:rPr>
                <w:rFonts w:ascii="Times New Roman" w:hAnsi="Times New Roman"/>
                <w:b/>
                <w:color w:val="FFFFFF"/>
                <w:sz w:val="17"/>
              </w:rPr>
              <w:t>Entscheidungserheblichkeit</w:t>
            </w:r>
          </w:p>
        </w:tc>
      </w:tr>
      <w:tr>
        <w:trPr>
          <w:cantSplit/>
        </w:trPr>
        <w:tc>
          <w:tcPr>
            <w:tcW w:type="dxa" w:w="3024"/>
            <w:vAlign w:val="top"/>
            <w:tcMar>
              <w:top w:w="60" w:type="dxa"/>
              <w:start w:w="90" w:type="dxa"/>
              <w:bottom w:w="60" w:type="dxa"/>
              <w:end w:w="90" w:type="dxa"/>
            </w:tcMar>
          </w:tcPr>
          <w:p>
            <w:pPr>
              <w:keepLines/>
              <w:spacing w:after="0"/>
            </w:pPr>
            <w:r/>
            <w:r>
              <w:rPr>
                <w:rFonts w:ascii="Times New Roman" w:hAnsi="Times New Roman"/>
                <w:sz w:val="17"/>
              </w:rPr>
              <w:t>Gleichgewichtung war nicht veröffentlicht</w:t>
            </w:r>
          </w:p>
        </w:tc>
        <w:tc>
          <w:tcPr>
            <w:tcW w:type="dxa" w:w="3042"/>
            <w:vAlign w:val="top"/>
            <w:tcMar>
              <w:top w:w="60" w:type="dxa"/>
              <w:start w:w="90" w:type="dxa"/>
              <w:bottom w:w="60" w:type="dxa"/>
              <w:end w:w="90" w:type="dxa"/>
            </w:tcMar>
          </w:tcPr>
          <w:p>
            <w:pPr>
              <w:keepLines/>
              <w:spacing w:after="0"/>
            </w:pPr>
            <w:r/>
            <w:r>
              <w:rPr>
                <w:rFonts w:ascii="Times New Roman" w:hAnsi="Times New Roman"/>
                <w:sz w:val="17"/>
              </w:rPr>
              <w:t>Unterlagen und Wertungsauszug B 3</w:t>
            </w:r>
          </w:p>
        </w:tc>
        <w:tc>
          <w:tcPr>
            <w:tcW w:type="dxa" w:w="3005"/>
            <w:vAlign w:val="top"/>
            <w:tcMar>
              <w:top w:w="60" w:type="dxa"/>
              <w:start w:w="90" w:type="dxa"/>
              <w:bottom w:w="60" w:type="dxa"/>
              <w:end w:w="90" w:type="dxa"/>
            </w:tcMar>
          </w:tcPr>
          <w:p>
            <w:pPr>
              <w:keepLines/>
              <w:spacing w:after="0"/>
            </w:pPr>
            <w:r/>
            <w:r>
              <w:rPr>
                <w:rFonts w:ascii="Times New Roman" w:hAnsi="Times New Roman"/>
                <w:sz w:val="17"/>
              </w:rPr>
              <w:t>Transparenz der Wertung</w:t>
            </w:r>
          </w:p>
        </w:tc>
      </w:tr>
      <w:tr>
        <w:trPr>
          <w:cantSplit/>
        </w:trPr>
        <w:tc>
          <w:tcPr>
            <w:tcW w:type="dxa" w:w="3024"/>
            <w:vAlign w:val="top"/>
            <w:tcMar>
              <w:top w:w="60" w:type="dxa"/>
              <w:start w:w="90" w:type="dxa"/>
              <w:bottom w:w="60" w:type="dxa"/>
              <w:end w:w="90" w:type="dxa"/>
            </w:tcMar>
            <w:shd w:fill="F1F3F3"/>
          </w:tcPr>
          <w:p>
            <w:pPr>
              <w:keepLines/>
              <w:spacing w:after="0"/>
            </w:pPr>
            <w:r/>
            <w:r>
              <w:rPr>
                <w:rFonts w:ascii="Times New Roman" w:hAnsi="Times New Roman"/>
                <w:sz w:val="17"/>
              </w:rPr>
              <w:t>Standort wurde erst nach Frist konkret festgelegt</w:t>
            </w:r>
          </w:p>
        </w:tc>
        <w:tc>
          <w:tcPr>
            <w:tcW w:type="dxa" w:w="3042"/>
            <w:vAlign w:val="top"/>
            <w:tcMar>
              <w:top w:w="60" w:type="dxa"/>
              <w:start w:w="90" w:type="dxa"/>
              <w:bottom w:w="60" w:type="dxa"/>
              <w:end w:w="90" w:type="dxa"/>
            </w:tcMar>
            <w:shd w:fill="F1F3F3"/>
          </w:tcPr>
          <w:p>
            <w:pPr>
              <w:keepLines/>
              <w:spacing w:after="0"/>
            </w:pPr>
            <w:r/>
            <w:r>
              <w:rPr>
                <w:rFonts w:ascii="Times New Roman" w:hAnsi="Times New Roman"/>
                <w:sz w:val="17"/>
              </w:rPr>
              <w:t>Originalangebot, Aufklärungsfrage und Antwort B 4 bis B 6</w:t>
            </w:r>
          </w:p>
        </w:tc>
        <w:tc>
          <w:tcPr>
            <w:tcW w:type="dxa" w:w="3005"/>
            <w:vAlign w:val="top"/>
            <w:tcMar>
              <w:top w:w="60" w:type="dxa"/>
              <w:start w:w="90" w:type="dxa"/>
              <w:bottom w:w="60" w:type="dxa"/>
              <w:end w:w="90" w:type="dxa"/>
            </w:tcMar>
            <w:shd w:fill="F1F3F3"/>
          </w:tcPr>
          <w:p>
            <w:pPr>
              <w:keepLines/>
              <w:spacing w:after="0"/>
            </w:pPr>
            <w:r/>
            <w:r>
              <w:rPr>
                <w:rFonts w:ascii="Times New Roman" w:hAnsi="Times New Roman"/>
                <w:sz w:val="17"/>
              </w:rPr>
              <w:t>Grenze der Aufklärung</w:t>
            </w:r>
          </w:p>
        </w:tc>
      </w:tr>
      <w:tr>
        <w:trPr>
          <w:cantSplit/>
        </w:trPr>
        <w:tc>
          <w:tcPr>
            <w:tcW w:type="dxa" w:w="3024"/>
            <w:vAlign w:val="top"/>
            <w:tcMar>
              <w:top w:w="60" w:type="dxa"/>
              <w:start w:w="90" w:type="dxa"/>
              <w:bottom w:w="60" w:type="dxa"/>
              <w:end w:w="90" w:type="dxa"/>
            </w:tcMar>
          </w:tcPr>
          <w:p>
            <w:pPr>
              <w:keepLines/>
              <w:spacing w:after="0"/>
            </w:pPr>
            <w:r/>
            <w:r>
              <w:rPr>
                <w:rFonts w:ascii="Times New Roman" w:hAnsi="Times New Roman"/>
                <w:sz w:val="17"/>
              </w:rPr>
              <w:t>Betriebsbereitschaft war nicht belegt</w:t>
            </w:r>
          </w:p>
        </w:tc>
        <w:tc>
          <w:tcPr>
            <w:tcW w:type="dxa" w:w="3042"/>
            <w:vAlign w:val="top"/>
            <w:tcMar>
              <w:top w:w="60" w:type="dxa"/>
              <w:start w:w="90" w:type="dxa"/>
              <w:bottom w:w="60" w:type="dxa"/>
              <w:end w:w="90" w:type="dxa"/>
            </w:tcMar>
          </w:tcPr>
          <w:p>
            <w:pPr>
              <w:keepLines/>
              <w:spacing w:after="0"/>
            </w:pPr>
            <w:r/>
            <w:r>
              <w:rPr>
                <w:rFonts w:ascii="Times New Roman" w:hAnsi="Times New Roman"/>
                <w:sz w:val="17"/>
              </w:rPr>
              <w:t>technische Stellungnahme RAP-2026-118</w:t>
            </w:r>
          </w:p>
        </w:tc>
        <w:tc>
          <w:tcPr>
            <w:tcW w:type="dxa" w:w="3005"/>
            <w:vAlign w:val="top"/>
            <w:tcMar>
              <w:top w:w="60" w:type="dxa"/>
              <w:start w:w="90" w:type="dxa"/>
              <w:bottom w:w="60" w:type="dxa"/>
              <w:end w:w="90" w:type="dxa"/>
            </w:tcMar>
          </w:tcPr>
          <w:p>
            <w:pPr>
              <w:keepLines/>
              <w:spacing w:after="0"/>
            </w:pPr>
            <w:r/>
            <w:r>
              <w:rPr>
                <w:rFonts w:ascii="Times New Roman" w:hAnsi="Times New Roman"/>
                <w:sz w:val="17"/>
              </w:rPr>
              <w:t>volle Punktzahl und Mindestanforderung</w:t>
            </w:r>
          </w:p>
        </w:tc>
      </w:tr>
      <w:tr>
        <w:trPr>
          <w:cantSplit/>
        </w:trPr>
        <w:tc>
          <w:tcPr>
            <w:tcW w:type="dxa" w:w="3024"/>
            <w:vAlign w:val="top"/>
            <w:tcMar>
              <w:top w:w="60" w:type="dxa"/>
              <w:start w:w="90" w:type="dxa"/>
              <w:bottom w:w="60" w:type="dxa"/>
              <w:end w:w="90" w:type="dxa"/>
            </w:tcMar>
            <w:shd w:fill="F1F3F3"/>
          </w:tcPr>
          <w:p>
            <w:pPr>
              <w:keepLines/>
              <w:spacing w:after="0"/>
            </w:pPr>
            <w:r/>
            <w:r>
              <w:rPr>
                <w:rFonts w:ascii="Times New Roman" w:hAnsi="Times New Roman"/>
                <w:sz w:val="17"/>
              </w:rPr>
              <w:t>Referenz war nicht kommunal vergleichbar</w:t>
            </w:r>
          </w:p>
        </w:tc>
        <w:tc>
          <w:tcPr>
            <w:tcW w:type="dxa" w:w="3042"/>
            <w:vAlign w:val="top"/>
            <w:tcMar>
              <w:top w:w="60" w:type="dxa"/>
              <w:start w:w="90" w:type="dxa"/>
              <w:bottom w:w="60" w:type="dxa"/>
              <w:end w:w="90" w:type="dxa"/>
            </w:tcMar>
            <w:shd w:fill="F1F3F3"/>
          </w:tcPr>
          <w:p>
            <w:pPr>
              <w:keepLines/>
              <w:spacing w:after="0"/>
            </w:pPr>
            <w:r/>
            <w:r>
              <w:rPr>
                <w:rFonts w:ascii="Times New Roman" w:hAnsi="Times New Roman"/>
                <w:sz w:val="17"/>
              </w:rPr>
              <w:t>Referenzblatt und Prüfvermerk B 8</w:t>
            </w:r>
          </w:p>
        </w:tc>
        <w:tc>
          <w:tcPr>
            <w:tcW w:type="dxa" w:w="3005"/>
            <w:vAlign w:val="top"/>
            <w:tcMar>
              <w:top w:w="60" w:type="dxa"/>
              <w:start w:w="90" w:type="dxa"/>
              <w:bottom w:w="60" w:type="dxa"/>
              <w:end w:w="90" w:type="dxa"/>
            </w:tcMar>
            <w:shd w:fill="F1F3F3"/>
          </w:tcPr>
          <w:p>
            <w:pPr>
              <w:keepLines/>
              <w:spacing w:after="0"/>
            </w:pPr>
            <w:r/>
            <w:r>
              <w:rPr>
                <w:rFonts w:ascii="Times New Roman" w:hAnsi="Times New Roman"/>
                <w:sz w:val="17"/>
              </w:rPr>
              <w:t>Eignung der Zuschlagsprätendentin</w:t>
            </w:r>
          </w:p>
        </w:tc>
      </w:tr>
    </w:tbl>
    <w:p>
      <w:pPr>
        <w:spacing w:after="0" w:before="40"/>
      </w:pPr>
    </w:p>
    <w:p>
      <w:pPr>
        <w:pStyle w:val="Heading1"/>
        <w:keepNext/>
        <w:keepLines/>
      </w:pPr>
      <w:r>
        <w:t>Kausalität</w:t>
      </w:r>
    </w:p>
    <w:p>
      <w:pPr>
        <w:keepNext/>
        <w:keepLines/>
      </w:pPr>
      <w:r>
        <w:t>Der Punkteabstand beträgt 4.8 Punkte. Allein die Korrektur der ZK-3-Wertung kann die Rangfolge ändern. Bei Nichterfüllung der Referenzmindestanforderung scheidet das Angebot der Beigeladenen aus. Der Beschwerdeführerin droht daher ein konkreter Zuschlagsverlust, nicht nur eine abstrakte Rechtsverletzung.</w:t>
      </w:r>
    </w:p>
    <w:p>
      <w:pPr>
        <w:keepNext/>
        <w:keepLines/>
      </w:pPr>
      <w:r>
        <w:t>Rechtsanwalt Felix Hagedorn</w:t>
      </w:r>
    </w:p>
    <w:p>
      <w:pPr>
        <w:keepLines/>
      </w:pPr>
      <w:r>
        <w:t>für die Datacenter Westfalen GmbH</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Verg 11/26 / DW-2026-RZ-011</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Datacenter Westfalen GmbH</w:t>
      <w:t xml:space="preserve">  |  Verg 11/26 / DW-2026-RZ-011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Sofortige Beschwerde gegen den Beschluss VK W 23-48/26</dc:title>
  <dc:subject>Sofortige Beschwerde | Az. Verg 11/26 / DW-2026-RZ-011</dc:subject>
  <dc:creator>Datacenter Westfalen GmbH</dc:creator>
  <cp:keywords>Vergaberecht, Verg 11/26 / DW-2026-RZ-011, Sofortige Beschwerde</cp:keywords>
  <dc:description>generated by python-docx</dc:description>
  <cp:lastModifiedBy>Datacenter Westfalen GmbH</cp:lastModifiedBy>
  <cp:revision>1</cp:revision>
  <dcterms:created xsi:type="dcterms:W3CDTF">2000-01-01T00:00:00Z</dcterms:created>
  <dcterms:modified xsi:type="dcterms:W3CDTF">2000-01-01T00:00:00Z</dcterms:modified>
  <cp:category>Vergabeakte</cp:category>
</cp:coreProperties>
</file>