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Musterkreis IT-Service</w:t>
            </w:r>
          </w:p>
          <w:p>
            <w:pPr>
              <w:spacing w:after="0"/>
            </w:pPr>
            <w:r>
              <w:rPr>
                <w:color w:val="646464"/>
                <w:sz w:val="18"/>
              </w:rPr>
              <w:t>Kreishaus 1, 44100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09.10.2026</w:t>
              <w:br/>
            </w:r>
            <w:r>
              <w:rPr>
                <w:rFonts w:ascii="Times New Roman" w:hAnsi="Times New Roman"/>
                <w:color w:val="646464"/>
                <w:sz w:val="18"/>
              </w:rPr>
              <w:t>Aktenzeichen: Verg 11/26 / DW-2026-RZ-011</w:t>
              <w:br/>
            </w:r>
            <w:r>
              <w:rPr>
                <w:rFonts w:ascii="Times New Roman" w:hAnsi="Times New Roman"/>
                <w:color w:val="646464"/>
                <w:sz w:val="18"/>
              </w:rPr>
              <w:t>Beschwerdeerwiderung</w:t>
            </w:r>
          </w:p>
        </w:tc>
      </w:tr>
    </w:tbl>
    <w:p>
      <w:pPr>
        <w:spacing w:before="200" w:after="40"/>
      </w:pPr>
      <w:r>
        <w:rPr>
          <w:rFonts w:ascii="Times New Roman" w:hAnsi="Times New Roman"/>
          <w:color w:val="646464"/>
          <w:sz w:val="15"/>
        </w:rPr>
        <w:t>Musterkreis IT-Service · Kreishaus 1, 44100 Musterstadt</w:t>
      </w:r>
    </w:p>
    <w:p>
      <w:pPr>
        <w:spacing w:after="240"/>
      </w:pPr>
      <w:r>
        <w:t>Oberlandesgericht Düsseldorf - Vergabesenat</w:t>
      </w:r>
    </w:p>
    <w:p>
      <w:pPr>
        <w:pStyle w:val="Title"/>
      </w:pPr>
      <w:r>
        <w:t>Erwiderung auf die sofortige Beschwerde der Datacenter Westfalen GmbH</w:t>
      </w:r>
    </w:p>
    <w:p>
      <w:pPr>
        <w:pStyle w:val="Heading1"/>
      </w:pPr>
      <w:r>
        <w:t>Anträge</w:t>
      </w:r>
    </w:p>
    <w:p>
      <w:r>
        <w:t>Der Musterkreis beantragt,</w:t>
      </w:r>
    </w:p>
    <w:p>
      <w:pPr>
        <w:pStyle w:val="ListNumber"/>
      </w:pPr>
      <w:r>
        <w:t>die sofortige Beschwerde zurückzuweisen;</w:t>
      </w:r>
    </w:p>
    <w:p>
      <w:pPr>
        <w:pStyle w:val="ListNumber"/>
      </w:pPr>
      <w:r>
        <w:t>der Beschwerdeführerin die Kosten des Beschwerdeverfahrens aufzuerlegen.</w:t>
      </w:r>
    </w:p>
    <w:p>
      <w:pPr>
        <w:pStyle w:val="Heading1"/>
      </w:pPr>
      <w:r>
        <w:t>1. Verfahrenssicherung</w:t>
      </w:r>
    </w:p>
    <w:p>
      <w:r>
        <w:t>Die Beschwerde hat nach § 173 Abs. 1 GWB keine aufschiebende Wirkung, weil die Vergabekammer den Nachprüfungsantrag zurückgewiesen hat. Der Musterkreis und die Beigeladene haben gleichwohl schriftlich vereinbart, den Zuschlag bis 19.10.2026 nicht zu erteilen. Diese befristete Stillhaltezusage erfolgt ohne Anerkennung einer Rechtspflicht und ermöglicht eine gerichtliche Entscheidung auf unverändertem Verfahrensstand.</w:t>
      </w:r>
    </w:p>
    <w:p>
      <w:pPr>
        <w:pStyle w:val="Heading1"/>
      </w:pPr>
      <w:r>
        <w:t>2. ZK-3</w:t>
      </w:r>
    </w:p>
    <w:p>
      <w:r>
        <w:t>Die vier Aspekte des Kriteriums waren in den Vergabeunterlagen vollständig genannt. Die Wertungsgruppe verwendete keine zusätzlichen Unterkriterien. Die Gleichgewichtung diente allein der konsistenten Binnenprüfung und änderte weder den bekannt gemachten Anteil von ZK-3 noch die Anforderungen an den Angebotsinhalt.</w:t>
      </w:r>
    </w:p>
    <w:p>
      <w:pPr>
        <w:pStyle w:val="Heading1"/>
      </w:pPr>
      <w:r>
        <w:t>3. Zweitstandort</w:t>
      </w:r>
    </w:p>
    <w:tbl>
      <w:tblPr>
        <w:tblStyle w:val="TableGrid"/>
        <w:tblW w:type="dxa" w:w="9071"/>
        <w:jc w:val="left"/>
        <w:tblLayout w:type="fixed"/>
        <w:tblLook w:firstColumn="1" w:firstRow="1" w:lastColumn="0" w:lastRow="0" w:noHBand="0" w:noVBand="1" w:val="04A0"/>
      </w:tblPr>
      <w:tblGrid>
        <w:gridCol w:w="3448"/>
        <w:gridCol w:w="2618"/>
        <w:gridCol w:w="3005"/>
      </w:tblGrid>
      <w:tr>
        <w:trPr>
          <w:tblHeader w:val="true"/>
          <w:cantSplit/>
        </w:trPr>
        <w:tc>
          <w:tcPr>
            <w:tcW w:type="dxa" w:w="3448"/>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Angebotsangabe bei Fristablauf</w:t>
            </w:r>
          </w:p>
        </w:tc>
        <w:tc>
          <w:tcPr>
            <w:tcW w:type="dxa" w:w="2618"/>
            <w:vAlign w:val="top"/>
            <w:tcMar>
              <w:top w:w="60" w:type="dxa"/>
              <w:start w:w="90" w:type="dxa"/>
              <w:bottom w:w="60" w:type="dxa"/>
              <w:end w:w="90" w:type="dxa"/>
            </w:tcMar>
            <w:shd w:fill="01696F"/>
          </w:tcPr>
          <w:p>
            <w:pPr>
              <w:keepLines/>
              <w:spacing w:after="0"/>
            </w:pPr>
            <w:r/>
            <w:r>
              <w:rPr>
                <w:rFonts w:ascii="Times New Roman" w:hAnsi="Times New Roman"/>
                <w:b/>
                <w:color w:val="FFFFFF"/>
                <w:sz w:val="17"/>
              </w:rPr>
              <w:t>spätere Aufklärung</w:t>
            </w:r>
          </w:p>
        </w:tc>
        <w:tc>
          <w:tcPr>
            <w:tcW w:type="dxa" w:w="3005"/>
            <w:vAlign w:val="top"/>
            <w:tcMar>
              <w:top w:w="60" w:type="dxa"/>
              <w:start w:w="90" w:type="dxa"/>
              <w:bottom w:w="60" w:type="dxa"/>
              <w:end w:w="90" w:type="dxa"/>
            </w:tcMar>
            <w:shd w:fill="01696F"/>
          </w:tcPr>
          <w:p>
            <w:pPr>
              <w:keepLines/>
              <w:spacing w:after="0"/>
            </w:pPr>
            <w:r/>
            <w:r>
              <w:rPr>
                <w:rFonts w:ascii="Times New Roman" w:hAnsi="Times New Roman"/>
                <w:b/>
                <w:color w:val="FFFFFF"/>
                <w:sz w:val="17"/>
              </w:rPr>
              <w:t>Auffassung des Musterkreises</w:t>
            </w:r>
          </w:p>
        </w:tc>
      </w:tr>
      <w:tr>
        <w:trPr>
          <w:cantSplit/>
        </w:trPr>
        <w:tc>
          <w:tcPr>
            <w:tcW w:type="dxa" w:w="3448"/>
            <w:vAlign w:val="top"/>
            <w:tcMar>
              <w:top w:w="60" w:type="dxa"/>
              <w:start w:w="90" w:type="dxa"/>
              <w:bottom w:w="60" w:type="dxa"/>
              <w:end w:w="90" w:type="dxa"/>
            </w:tcMar>
          </w:tcPr>
          <w:p>
            <w:pPr>
              <w:keepLines/>
              <w:spacing w:after="0"/>
            </w:pPr>
            <w:r/>
            <w:r>
              <w:rPr>
                <w:rFonts w:ascii="Times New Roman" w:hAnsi="Times New Roman"/>
                <w:sz w:val="17"/>
              </w:rPr>
              <w:t>gesicherter Ausweichstandort im Raum Hannover</w:t>
            </w:r>
          </w:p>
        </w:tc>
        <w:tc>
          <w:tcPr>
            <w:tcW w:type="dxa" w:w="2618"/>
            <w:vAlign w:val="top"/>
            <w:tcMar>
              <w:top w:w="60" w:type="dxa"/>
              <w:start w:w="90" w:type="dxa"/>
              <w:bottom w:w="60" w:type="dxa"/>
              <w:end w:w="90" w:type="dxa"/>
            </w:tcMar>
          </w:tcPr>
          <w:p>
            <w:pPr>
              <w:keepLines/>
              <w:spacing w:after="0"/>
            </w:pPr>
            <w:r/>
            <w:r>
              <w:rPr>
                <w:rFonts w:ascii="Times New Roman" w:hAnsi="Times New Roman"/>
                <w:sz w:val="17"/>
              </w:rPr>
              <w:t>genaue Anschrift</w:t>
            </w:r>
          </w:p>
        </w:tc>
        <w:tc>
          <w:tcPr>
            <w:tcW w:type="dxa" w:w="3005"/>
            <w:vAlign w:val="top"/>
            <w:tcMar>
              <w:top w:w="60" w:type="dxa"/>
              <w:start w:w="90" w:type="dxa"/>
              <w:bottom w:w="60" w:type="dxa"/>
              <w:end w:w="90" w:type="dxa"/>
            </w:tcMar>
          </w:tcPr>
          <w:p>
            <w:pPr>
              <w:keepLines/>
              <w:spacing w:after="0"/>
            </w:pPr>
            <w:r/>
            <w:r>
              <w:rPr>
                <w:rFonts w:ascii="Times New Roman" w:hAnsi="Times New Roman"/>
                <w:sz w:val="17"/>
              </w:rPr>
              <w:t>Identifizierung, keine neue Ressource</w:t>
            </w:r>
          </w:p>
        </w:tc>
      </w:tr>
      <w:tr>
        <w:trPr>
          <w:cantSplit/>
        </w:trPr>
        <w:tc>
          <w:tcPr>
            <w:tcW w:type="dxa" w:w="3448"/>
            <w:vAlign w:val="top"/>
            <w:tcMar>
              <w:top w:w="60" w:type="dxa"/>
              <w:start w:w="90" w:type="dxa"/>
              <w:bottom w:w="60" w:type="dxa"/>
              <w:end w:w="90" w:type="dxa"/>
            </w:tcMar>
            <w:shd w:fill="F1F3F3"/>
          </w:tcPr>
          <w:p>
            <w:pPr>
              <w:keepLines/>
              <w:spacing w:after="0"/>
            </w:pPr>
            <w:r/>
            <w:r>
              <w:rPr>
                <w:rFonts w:ascii="Times New Roman" w:hAnsi="Times New Roman"/>
                <w:sz w:val="17"/>
              </w:rPr>
              <w:t>48 Serverschränke und getrennte Energieversorgung</w:t>
            </w:r>
          </w:p>
        </w:tc>
        <w:tc>
          <w:tcPr>
            <w:tcW w:type="dxa" w:w="2618"/>
            <w:vAlign w:val="top"/>
            <w:tcMar>
              <w:top w:w="60" w:type="dxa"/>
              <w:start w:w="90" w:type="dxa"/>
              <w:bottom w:w="60" w:type="dxa"/>
              <w:end w:w="90" w:type="dxa"/>
            </w:tcMar>
            <w:shd w:fill="F1F3F3"/>
          </w:tcPr>
          <w:p>
            <w:pPr>
              <w:keepLines/>
              <w:spacing w:after="0"/>
            </w:pPr>
            <w:r/>
            <w:r>
              <w:rPr>
                <w:rFonts w:ascii="Times New Roman" w:hAnsi="Times New Roman"/>
                <w:sz w:val="17"/>
              </w:rPr>
              <w:t>Betreiberbestätigung</w:t>
            </w:r>
          </w:p>
        </w:tc>
        <w:tc>
          <w:tcPr>
            <w:tcW w:type="dxa" w:w="3005"/>
            <w:vAlign w:val="top"/>
            <w:tcMar>
              <w:top w:w="60" w:type="dxa"/>
              <w:start w:w="90" w:type="dxa"/>
              <w:bottom w:w="60" w:type="dxa"/>
              <w:end w:w="90" w:type="dxa"/>
            </w:tcMar>
            <w:shd w:fill="F1F3F3"/>
          </w:tcPr>
          <w:p>
            <w:pPr>
              <w:keepLines/>
              <w:spacing w:after="0"/>
            </w:pPr>
            <w:r/>
            <w:r>
              <w:rPr>
                <w:rFonts w:ascii="Times New Roman" w:hAnsi="Times New Roman"/>
                <w:sz w:val="17"/>
              </w:rPr>
              <w:t>Beleg vorhandener Kapazität</w:t>
            </w:r>
          </w:p>
        </w:tc>
      </w:tr>
      <w:tr>
        <w:trPr>
          <w:cantSplit/>
        </w:trPr>
        <w:tc>
          <w:tcPr>
            <w:tcW w:type="dxa" w:w="3448"/>
            <w:vAlign w:val="top"/>
            <w:tcMar>
              <w:top w:w="60" w:type="dxa"/>
              <w:start w:w="90" w:type="dxa"/>
              <w:bottom w:w="60" w:type="dxa"/>
              <w:end w:w="90" w:type="dxa"/>
            </w:tcMar>
          </w:tcPr>
          <w:p>
            <w:pPr>
              <w:keepLines/>
              <w:spacing w:after="0"/>
            </w:pPr>
            <w:r/>
            <w:r>
              <w:rPr>
                <w:rFonts w:ascii="Times New Roman" w:hAnsi="Times New Roman"/>
                <w:sz w:val="17"/>
              </w:rPr>
              <w:t>RTO von vier Stunden</w:t>
            </w:r>
          </w:p>
        </w:tc>
        <w:tc>
          <w:tcPr>
            <w:tcW w:type="dxa" w:w="2618"/>
            <w:vAlign w:val="top"/>
            <w:tcMar>
              <w:top w:w="60" w:type="dxa"/>
              <w:start w:w="90" w:type="dxa"/>
              <w:bottom w:w="60" w:type="dxa"/>
              <w:end w:w="90" w:type="dxa"/>
            </w:tcMar>
          </w:tcPr>
          <w:p>
            <w:pPr>
              <w:keepLines/>
              <w:spacing w:after="0"/>
            </w:pPr>
            <w:r/>
            <w:r>
              <w:rPr>
                <w:rFonts w:ascii="Times New Roman" w:hAnsi="Times New Roman"/>
                <w:sz w:val="17"/>
              </w:rPr>
              <w:t>Ablauf der Umschaltung</w:t>
            </w:r>
          </w:p>
        </w:tc>
        <w:tc>
          <w:tcPr>
            <w:tcW w:type="dxa" w:w="3005"/>
            <w:vAlign w:val="top"/>
            <w:tcMar>
              <w:top w:w="60" w:type="dxa"/>
              <w:start w:w="90" w:type="dxa"/>
              <w:bottom w:w="60" w:type="dxa"/>
              <w:end w:w="90" w:type="dxa"/>
            </w:tcMar>
          </w:tcPr>
          <w:p>
            <w:pPr>
              <w:keepLines/>
              <w:spacing w:after="0"/>
            </w:pPr>
            <w:r/>
            <w:r>
              <w:rPr>
                <w:rFonts w:ascii="Times New Roman" w:hAnsi="Times New Roman"/>
                <w:sz w:val="17"/>
              </w:rPr>
              <w:t>Erläuterung der zugesagten Leistung</w:t>
            </w:r>
          </w:p>
        </w:tc>
      </w:tr>
    </w:tbl>
    <w:p>
      <w:pPr>
        <w:spacing w:after="0" w:before="40"/>
      </w:pPr>
    </w:p>
    <w:p>
      <w:r>
        <w:t>Die Aufklärung habe weder einen neuen Standort noch eine bessere Wiederanlaufzeit eingeführt.</w:t>
      </w:r>
    </w:p>
    <w:p>
      <w:pPr>
        <w:pStyle w:val="Heading1"/>
      </w:pPr>
      <w:r>
        <w:t>4. Referenz</w:t>
      </w:r>
    </w:p>
    <w:p>
      <w:pPr>
        <w:keepNext/>
        <w:keepLines/>
      </w:pPr>
      <w:r>
        <w:t>Der Musterkreis versteht die Formulierung kommunale Rechenzentrumsleistungen funktional. Die private Referenz weist vergleichbare Fachverfahren, Verfügbarkeitsklassen, Datenschutz- und Sicherheitsanforderungen auf. Eine Beschränkung auf die Rechtsform oder Trägerschaft des Referenzgebers war nicht bezweckt.</w:t>
      </w:r>
    </w:p>
    <w:p>
      <w:pPr>
        <w:pStyle w:val="Heading1"/>
        <w:keepNext/>
        <w:keepLines/>
      </w:pPr>
      <w:r>
        <w:t>5. Hilfsweise</w:t>
      </w:r>
    </w:p>
    <w:p>
      <w:pPr>
        <w:keepNext/>
        <w:keepLines/>
      </w:pPr>
      <w:r>
        <w:t>Sollte der Senat die Dokumentation oder Auslegung beanstanden, ist eine Rückversetzung in die Eignungs- und Wertungsprüfung ausreichend. Ein unmittelbarer Zuschlag an die Beschwerdeführerin kommt nicht in Betracht.</w:t>
      </w:r>
    </w:p>
    <w:p>
      <w:pPr>
        <w:pStyle w:val="Heading1"/>
        <w:keepNext/>
        <w:keepLines/>
      </w:pPr>
      <w:r>
        <w:t>6. Verfahrensfahrplan und Aktenvorlage</w:t>
      </w:r>
    </w:p>
    <w:tbl>
      <w:tblPr>
        <w:tblStyle w:val="TableGrid"/>
        <w:tblW w:type="dxa" w:w="9072"/>
        <w:jc w:val="left"/>
        <w:tblLayout w:type="fixed"/>
        <w:tblLook w:firstColumn="1" w:firstRow="1" w:lastColumn="0" w:lastRow="0" w:noHBand="0" w:noVBand="1" w:val="04A0"/>
      </w:tblPr>
      <w:tblGrid>
        <w:gridCol w:w="2991"/>
        <w:gridCol w:w="2014"/>
        <w:gridCol w:w="2170"/>
        <w:gridCol w:w="1897"/>
      </w:tblGrid>
      <w:tr>
        <w:trPr>
          <w:tblHeader w:val="true"/>
          <w:cantSplit/>
        </w:trPr>
        <w:tc>
          <w:tcPr>
            <w:tcW w:type="dxa" w:w="2991"/>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Vorgang</w:t>
            </w:r>
          </w:p>
        </w:tc>
        <w:tc>
          <w:tcPr>
            <w:tcW w:type="dxa" w:w="2014"/>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Termin</w:t>
            </w:r>
          </w:p>
        </w:tc>
        <w:tc>
          <w:tcPr>
            <w:tcW w:type="dxa" w:w="2170"/>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Verantwortlich</w:t>
            </w:r>
          </w:p>
        </w:tc>
        <w:tc>
          <w:tcPr>
            <w:tcW w:type="dxa" w:w="1897"/>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Status</w:t>
            </w:r>
          </w:p>
        </w:tc>
      </w:tr>
      <w:tr>
        <w:trPr>
          <w:cantSplit/>
        </w:trPr>
        <w:tc>
          <w:tcPr>
            <w:tcW w:type="dxa" w:w="2991"/>
            <w:vAlign w:val="top"/>
            <w:tcMar>
              <w:top w:w="60" w:type="dxa"/>
              <w:start w:w="90" w:type="dxa"/>
              <w:bottom w:w="60" w:type="dxa"/>
              <w:end w:w="90" w:type="dxa"/>
            </w:tcMar>
          </w:tcPr>
          <w:p>
            <w:pPr>
              <w:keepLines/>
              <w:spacing w:after="0"/>
            </w:pPr>
            <w:r/>
            <w:r>
              <w:rPr>
                <w:rFonts w:ascii="Times New Roman" w:hAnsi="Times New Roman"/>
                <w:sz w:val="17"/>
              </w:rPr>
              <w:t>ungeschwärzte Gerichtsakte</w:t>
            </w:r>
          </w:p>
        </w:tc>
        <w:tc>
          <w:tcPr>
            <w:tcW w:type="dxa" w:w="2014"/>
            <w:vAlign w:val="top"/>
            <w:tcMar>
              <w:top w:w="60" w:type="dxa"/>
              <w:start w:w="90" w:type="dxa"/>
              <w:bottom w:w="60" w:type="dxa"/>
              <w:end w:w="90" w:type="dxa"/>
            </w:tcMar>
          </w:tcPr>
          <w:p>
            <w:pPr>
              <w:keepLines/>
              <w:spacing w:after="0"/>
            </w:pPr>
            <w:r/>
            <w:r>
              <w:rPr>
                <w:rFonts w:ascii="Times New Roman" w:hAnsi="Times New Roman"/>
                <w:sz w:val="17"/>
              </w:rPr>
              <w:t>09.10.2026, 16:00 Uhr</w:t>
            </w:r>
          </w:p>
        </w:tc>
        <w:tc>
          <w:tcPr>
            <w:tcW w:type="dxa" w:w="2170"/>
            <w:vAlign w:val="top"/>
            <w:tcMar>
              <w:top w:w="60" w:type="dxa"/>
              <w:start w:w="90" w:type="dxa"/>
              <w:bottom w:w="60" w:type="dxa"/>
              <w:end w:w="90" w:type="dxa"/>
            </w:tcMar>
          </w:tcPr>
          <w:p>
            <w:pPr>
              <w:keepLines/>
              <w:spacing w:after="0"/>
            </w:pPr>
            <w:r/>
            <w:r>
              <w:rPr>
                <w:rFonts w:ascii="Times New Roman" w:hAnsi="Times New Roman"/>
                <w:sz w:val="17"/>
              </w:rPr>
              <w:t>Rechtsamt</w:t>
            </w:r>
          </w:p>
        </w:tc>
        <w:tc>
          <w:tcPr>
            <w:tcW w:type="dxa" w:w="1897"/>
            <w:vAlign w:val="top"/>
            <w:tcMar>
              <w:top w:w="60" w:type="dxa"/>
              <w:start w:w="90" w:type="dxa"/>
              <w:bottom w:w="60" w:type="dxa"/>
              <w:end w:w="90" w:type="dxa"/>
            </w:tcMar>
          </w:tcPr>
          <w:p>
            <w:pPr>
              <w:keepLines/>
              <w:spacing w:after="0"/>
            </w:pPr>
            <w:r/>
            <w:r>
              <w:rPr>
                <w:rFonts w:ascii="Times New Roman" w:hAnsi="Times New Roman"/>
                <w:sz w:val="17"/>
              </w:rPr>
              <w:t>übermittelt</w:t>
            </w:r>
          </w:p>
        </w:tc>
      </w:tr>
      <w:tr>
        <w:trPr>
          <w:cantSplit/>
        </w:trPr>
        <w:tc>
          <w:tcPr>
            <w:tcW w:type="dxa" w:w="2991"/>
            <w:vAlign w:val="top"/>
            <w:tcMar>
              <w:top w:w="60" w:type="dxa"/>
              <w:start w:w="90" w:type="dxa"/>
              <w:bottom w:w="60" w:type="dxa"/>
              <w:end w:w="90" w:type="dxa"/>
            </w:tcMar>
            <w:shd w:fill="F1F3F3"/>
          </w:tcPr>
          <w:p>
            <w:pPr>
              <w:keepLines/>
              <w:spacing w:after="0"/>
            </w:pPr>
            <w:r/>
            <w:r>
              <w:rPr>
                <w:rFonts w:ascii="Times New Roman" w:hAnsi="Times New Roman"/>
                <w:sz w:val="17"/>
              </w:rPr>
              <w:t>Beteiligtenfassung mit Schwärzungsverzeichnis</w:t>
            </w:r>
          </w:p>
        </w:tc>
        <w:tc>
          <w:tcPr>
            <w:tcW w:type="dxa" w:w="2014"/>
            <w:vAlign w:val="top"/>
            <w:tcMar>
              <w:top w:w="60" w:type="dxa"/>
              <w:start w:w="90" w:type="dxa"/>
              <w:bottom w:w="60" w:type="dxa"/>
              <w:end w:w="90" w:type="dxa"/>
            </w:tcMar>
            <w:shd w:fill="F1F3F3"/>
          </w:tcPr>
          <w:p>
            <w:pPr>
              <w:keepLines/>
              <w:spacing w:after="0"/>
            </w:pPr>
            <w:r/>
            <w:r>
              <w:rPr>
                <w:rFonts w:ascii="Times New Roman" w:hAnsi="Times New Roman"/>
                <w:sz w:val="17"/>
              </w:rPr>
              <w:t>09.10.2026, 16:00 Uhr</w:t>
            </w:r>
          </w:p>
        </w:tc>
        <w:tc>
          <w:tcPr>
            <w:tcW w:type="dxa" w:w="2170"/>
            <w:vAlign w:val="top"/>
            <w:tcMar>
              <w:top w:w="60" w:type="dxa"/>
              <w:start w:w="90" w:type="dxa"/>
              <w:bottom w:w="60" w:type="dxa"/>
              <w:end w:w="90" w:type="dxa"/>
            </w:tcMar>
            <w:shd w:fill="F1F3F3"/>
          </w:tcPr>
          <w:p>
            <w:pPr>
              <w:keepLines/>
              <w:spacing w:after="0"/>
            </w:pPr>
            <w:r/>
            <w:r>
              <w:rPr>
                <w:rFonts w:ascii="Times New Roman" w:hAnsi="Times New Roman"/>
                <w:sz w:val="17"/>
              </w:rPr>
              <w:t>Vergabestelle</w:t>
            </w:r>
          </w:p>
        </w:tc>
        <w:tc>
          <w:tcPr>
            <w:tcW w:type="dxa" w:w="1897"/>
            <w:vAlign w:val="top"/>
            <w:tcMar>
              <w:top w:w="60" w:type="dxa"/>
              <w:start w:w="90" w:type="dxa"/>
              <w:bottom w:w="60" w:type="dxa"/>
              <w:end w:w="90" w:type="dxa"/>
            </w:tcMar>
            <w:shd w:fill="F1F3F3"/>
          </w:tcPr>
          <w:p>
            <w:pPr>
              <w:keepLines/>
              <w:spacing w:after="0"/>
            </w:pPr>
            <w:r/>
            <w:r>
              <w:rPr>
                <w:rFonts w:ascii="Times New Roman" w:hAnsi="Times New Roman"/>
                <w:sz w:val="17"/>
              </w:rPr>
              <w:t>übermittelt</w:t>
            </w:r>
          </w:p>
        </w:tc>
      </w:tr>
      <w:tr>
        <w:trPr>
          <w:cantSplit/>
        </w:trPr>
        <w:tc>
          <w:tcPr>
            <w:tcW w:type="dxa" w:w="2991"/>
            <w:vAlign w:val="top"/>
            <w:tcMar>
              <w:top w:w="60" w:type="dxa"/>
              <w:start w:w="90" w:type="dxa"/>
              <w:bottom w:w="60" w:type="dxa"/>
              <w:end w:w="90" w:type="dxa"/>
            </w:tcMar>
          </w:tcPr>
          <w:p>
            <w:pPr>
              <w:keepLines/>
              <w:spacing w:after="0"/>
            </w:pPr>
            <w:r/>
            <w:r>
              <w:rPr>
                <w:rFonts w:ascii="Times New Roman" w:hAnsi="Times New Roman"/>
                <w:sz w:val="17"/>
              </w:rPr>
              <w:t>technische Stellungnahme Zweitstandort</w:t>
            </w:r>
          </w:p>
        </w:tc>
        <w:tc>
          <w:tcPr>
            <w:tcW w:type="dxa" w:w="2014"/>
            <w:vAlign w:val="top"/>
            <w:tcMar>
              <w:top w:w="60" w:type="dxa"/>
              <w:start w:w="90" w:type="dxa"/>
              <w:bottom w:w="60" w:type="dxa"/>
              <w:end w:w="90" w:type="dxa"/>
            </w:tcMar>
          </w:tcPr>
          <w:p>
            <w:pPr>
              <w:keepLines/>
              <w:spacing w:after="0"/>
            </w:pPr>
            <w:r/>
            <w:r>
              <w:rPr>
                <w:rFonts w:ascii="Times New Roman" w:hAnsi="Times New Roman"/>
                <w:sz w:val="17"/>
              </w:rPr>
              <w:t>12.10.2026</w:t>
            </w:r>
          </w:p>
        </w:tc>
        <w:tc>
          <w:tcPr>
            <w:tcW w:type="dxa" w:w="2170"/>
            <w:vAlign w:val="top"/>
            <w:tcMar>
              <w:top w:w="60" w:type="dxa"/>
              <w:start w:w="90" w:type="dxa"/>
              <w:bottom w:w="60" w:type="dxa"/>
              <w:end w:w="90" w:type="dxa"/>
            </w:tcMar>
          </w:tcPr>
          <w:p>
            <w:pPr>
              <w:keepLines/>
              <w:spacing w:after="0"/>
            </w:pPr>
            <w:r/>
            <w:r>
              <w:rPr>
                <w:rFonts w:ascii="Times New Roman" w:hAnsi="Times New Roman"/>
                <w:sz w:val="17"/>
              </w:rPr>
              <w:t>Fachgutachterin</w:t>
            </w:r>
          </w:p>
        </w:tc>
        <w:tc>
          <w:tcPr>
            <w:tcW w:type="dxa" w:w="1897"/>
            <w:vAlign w:val="top"/>
            <w:tcMar>
              <w:top w:w="60" w:type="dxa"/>
              <w:start w:w="90" w:type="dxa"/>
              <w:bottom w:w="60" w:type="dxa"/>
              <w:end w:w="90" w:type="dxa"/>
            </w:tcMar>
          </w:tcPr>
          <w:p>
            <w:pPr>
              <w:keepLines/>
              <w:spacing w:after="0"/>
            </w:pPr>
            <w:r/>
            <w:r>
              <w:rPr>
                <w:rFonts w:ascii="Times New Roman" w:hAnsi="Times New Roman"/>
                <w:sz w:val="17"/>
              </w:rPr>
              <w:t>angekündigt</w:t>
            </w:r>
          </w:p>
        </w:tc>
      </w:tr>
      <w:tr>
        <w:trPr>
          <w:cantSplit/>
        </w:trPr>
        <w:tc>
          <w:tcPr>
            <w:tcW w:type="dxa" w:w="2991"/>
            <w:vAlign w:val="top"/>
            <w:tcMar>
              <w:top w:w="60" w:type="dxa"/>
              <w:start w:w="90" w:type="dxa"/>
              <w:bottom w:w="60" w:type="dxa"/>
              <w:end w:w="90" w:type="dxa"/>
            </w:tcMar>
            <w:shd w:fill="F1F3F3"/>
          </w:tcPr>
          <w:p>
            <w:pPr>
              <w:keepLines/>
              <w:spacing w:after="0"/>
            </w:pPr>
            <w:r/>
            <w:r>
              <w:rPr>
                <w:rFonts w:ascii="Times New Roman" w:hAnsi="Times New Roman"/>
                <w:sz w:val="17"/>
              </w:rPr>
              <w:t>Stillhaltezusage</w:t>
            </w:r>
          </w:p>
        </w:tc>
        <w:tc>
          <w:tcPr>
            <w:tcW w:type="dxa" w:w="2014"/>
            <w:vAlign w:val="top"/>
            <w:tcMar>
              <w:top w:w="60" w:type="dxa"/>
              <w:start w:w="90" w:type="dxa"/>
              <w:bottom w:w="60" w:type="dxa"/>
              <w:end w:w="90" w:type="dxa"/>
            </w:tcMar>
            <w:shd w:fill="F1F3F3"/>
          </w:tcPr>
          <w:p>
            <w:pPr>
              <w:keepLines/>
              <w:spacing w:after="0"/>
            </w:pPr>
            <w:r/>
            <w:r>
              <w:rPr>
                <w:rFonts w:ascii="Times New Roman" w:hAnsi="Times New Roman"/>
                <w:sz w:val="17"/>
              </w:rPr>
              <w:t>bis 19.10.2026</w:t>
            </w:r>
          </w:p>
        </w:tc>
        <w:tc>
          <w:tcPr>
            <w:tcW w:type="dxa" w:w="2170"/>
            <w:vAlign w:val="top"/>
            <w:tcMar>
              <w:top w:w="60" w:type="dxa"/>
              <w:start w:w="90" w:type="dxa"/>
              <w:bottom w:w="60" w:type="dxa"/>
              <w:end w:w="90" w:type="dxa"/>
            </w:tcMar>
            <w:shd w:fill="F1F3F3"/>
          </w:tcPr>
          <w:p>
            <w:pPr>
              <w:keepLines/>
              <w:spacing w:after="0"/>
            </w:pPr>
            <w:r/>
            <w:r>
              <w:rPr>
                <w:rFonts w:ascii="Times New Roman" w:hAnsi="Times New Roman"/>
                <w:sz w:val="17"/>
              </w:rPr>
              <w:t>Musterkreis und CloudNord</w:t>
            </w:r>
          </w:p>
        </w:tc>
        <w:tc>
          <w:tcPr>
            <w:tcW w:type="dxa" w:w="1897"/>
            <w:vAlign w:val="top"/>
            <w:tcMar>
              <w:top w:w="60" w:type="dxa"/>
              <w:start w:w="90" w:type="dxa"/>
              <w:bottom w:w="60" w:type="dxa"/>
              <w:end w:w="90" w:type="dxa"/>
            </w:tcMar>
            <w:shd w:fill="F1F3F3"/>
          </w:tcPr>
          <w:p>
            <w:pPr>
              <w:keepLines/>
              <w:spacing w:after="0"/>
            </w:pPr>
            <w:r/>
            <w:r>
              <w:rPr>
                <w:rFonts w:ascii="Times New Roman" w:hAnsi="Times New Roman"/>
                <w:sz w:val="17"/>
              </w:rPr>
              <w:t>schriftlich bestätigt</w:t>
            </w:r>
          </w:p>
        </w:tc>
      </w:tr>
      <w:tr>
        <w:trPr>
          <w:cantSplit/>
        </w:trPr>
        <w:tc>
          <w:tcPr>
            <w:tcW w:type="dxa" w:w="2991"/>
            <w:vAlign w:val="top"/>
            <w:tcMar>
              <w:top w:w="60" w:type="dxa"/>
              <w:start w:w="90" w:type="dxa"/>
              <w:bottom w:w="60" w:type="dxa"/>
              <w:end w:w="90" w:type="dxa"/>
            </w:tcMar>
          </w:tcPr>
          <w:p>
            <w:pPr>
              <w:keepLines/>
              <w:spacing w:after="0"/>
            </w:pPr>
            <w:r/>
            <w:r>
              <w:rPr>
                <w:rFonts w:ascii="Times New Roman" w:hAnsi="Times New Roman"/>
                <w:sz w:val="17"/>
              </w:rPr>
              <w:t>gerichtlicher Entscheidungstermin</w:t>
            </w:r>
          </w:p>
        </w:tc>
        <w:tc>
          <w:tcPr>
            <w:tcW w:type="dxa" w:w="2014"/>
            <w:vAlign w:val="top"/>
            <w:tcMar>
              <w:top w:w="60" w:type="dxa"/>
              <w:start w:w="90" w:type="dxa"/>
              <w:bottom w:w="60" w:type="dxa"/>
              <w:end w:w="90" w:type="dxa"/>
            </w:tcMar>
          </w:tcPr>
          <w:p>
            <w:pPr>
              <w:keepLines/>
              <w:spacing w:after="0"/>
            </w:pPr>
            <w:r/>
            <w:r>
              <w:rPr>
                <w:rFonts w:ascii="Times New Roman" w:hAnsi="Times New Roman"/>
                <w:sz w:val="17"/>
              </w:rPr>
              <w:t>nach Verfügung des Senats</w:t>
            </w:r>
          </w:p>
        </w:tc>
        <w:tc>
          <w:tcPr>
            <w:tcW w:type="dxa" w:w="2170"/>
            <w:vAlign w:val="top"/>
            <w:tcMar>
              <w:top w:w="60" w:type="dxa"/>
              <w:start w:w="90" w:type="dxa"/>
              <w:bottom w:w="60" w:type="dxa"/>
              <w:end w:w="90" w:type="dxa"/>
            </w:tcMar>
          </w:tcPr>
          <w:p>
            <w:pPr>
              <w:keepLines/>
              <w:spacing w:after="0"/>
            </w:pPr>
            <w:r/>
            <w:r>
              <w:rPr>
                <w:rFonts w:ascii="Times New Roman" w:hAnsi="Times New Roman"/>
                <w:sz w:val="17"/>
              </w:rPr>
              <w:t>Rechtsamt</w:t>
            </w:r>
          </w:p>
        </w:tc>
        <w:tc>
          <w:tcPr>
            <w:tcW w:type="dxa" w:w="1897"/>
            <w:vAlign w:val="top"/>
            <w:tcMar>
              <w:top w:w="60" w:type="dxa"/>
              <w:start w:w="90" w:type="dxa"/>
              <w:bottom w:w="60" w:type="dxa"/>
              <w:end w:w="90" w:type="dxa"/>
            </w:tcMar>
          </w:tcPr>
          <w:p>
            <w:pPr>
              <w:keepLines/>
              <w:spacing w:after="0"/>
            </w:pPr>
            <w:r/>
            <w:r>
              <w:rPr>
                <w:rFonts w:ascii="Times New Roman" w:hAnsi="Times New Roman"/>
                <w:sz w:val="17"/>
              </w:rPr>
              <w:t>offen</w:t>
            </w:r>
          </w:p>
        </w:tc>
      </w:tr>
    </w:tbl>
    <w:p>
      <w:pPr>
        <w:spacing w:after="0" w:before="40"/>
      </w:pPr>
    </w:p>
    <w:p>
      <w:pPr>
        <w:keepNext/>
        <w:keepLines/>
      </w:pPr>
      <w:r>
        <w:t>Der Musterkreis hält das Zuschlagsmodul bis zum Ende der Stillhaltezusage gesperrt. Erfolgt vorher keine Sachentscheidung, wird über eine Verlängerung nur nach dokumentierter Abwägung von Rechtsschutzrisiko, Betriebsbedarf und Bindefrist entschieden.</w:t>
      </w:r>
    </w:p>
    <w:p>
      <w:pPr>
        <w:keepLines/>
      </w:pPr>
      <w:r>
        <w:t>Musterkreis IT-Service Vergabestelle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Verg 11/26 / DW-2026-RZ-011</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Musterkreis IT-Service</w:t>
      <w:t xml:space="preserve">  |  Verg 11/26 / DW-2026-RZ-011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Erwiderung auf die sofortige Beschwerde der Datacenter Westfalen GmbH</dc:title>
  <dc:subject>Beschwerdeerwiderung | Az. Verg 11/26 / DW-2026-RZ-011</dc:subject>
  <dc:creator>Musterkreis IT-Service</dc:creator>
  <cp:keywords>Vergaberecht, Verg 11/26 / DW-2026-RZ-011, Beschwerdeerwiderung</cp:keywords>
  <dc:description>generated by python-docx</dc:description>
  <cp:lastModifiedBy>Musterkreis IT-Service</cp:lastModifiedBy>
  <cp:revision>1</cp:revision>
  <dcterms:created xsi:type="dcterms:W3CDTF">2000-01-01T00:00:00Z</dcterms:created>
  <dcterms:modified xsi:type="dcterms:W3CDTF">2000-01-01T00:00:00Z</dcterms:modified>
  <cp:category>Vergabeakte</cp:category>
</cp:coreProperties>
</file>