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CyberShield Defense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Alexanderstraße 7, 10178 Berlin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31.03.2026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VK 4/26</w:t>
            </w:r>
          </w:p>
        </w:tc>
      </w:tr>
    </w:tbl>
    <w:p>
      <w:pPr>
        <w:pStyle w:val="Title"/>
      </w:pPr>
      <w:r>
        <w:t>Angebotszusammenfassung CyberShield Defense GmbH</w:t>
      </w:r>
    </w:p>
    <w:p>
      <w:r>
        <w:t>Aktenzeichen: 3 VK 4/26 Vorhabenbezeichnung: LH-SN-Cyber-SOC-NSV-2026 Bieter: CyberShield Defense GmbH, Alexanderstraße 7, 10178 Berlin Einreichungsdatum: 31.03.2026, 11:47 Uhr (fristgerecht) Angebots-ID: CS-LH-SN-2026-001</w:t>
      </w:r>
    </w:p>
    <w:p>
      <w:pPr>
        <w:pStyle w:val="Heading1"/>
      </w:pPr>
      <w:r>
        <w:t>1. Bieter-Steckbrief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3086"/>
        <w:gridCol w:w="5984"/>
      </w:tblGrid>
      <w:tr>
        <w:trPr>
          <w:tblHeader w:val="true"/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Firma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CyberShield Defense GmbH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Rechtsform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GmbH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Handelsregister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HRB 198432 B, Amtsgericht Berlin-Charlottenburg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Gründungsjahr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2014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Mitarbeiterzahl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127 (Stand 01.01.2026)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Umsatz IT-Sicherheit 2023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12,4 Mio. EUR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Umsatz IT-Sicherheit 2024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14,1 Mio. EUR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Umsatz IT-Sicherheit 2025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15,8 Mio. EUR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SOC-Standorte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Berlin (Hauptstandort), Frankfurt a.M. (Sekundärstandort)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Zertifizierungen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ISO/IEC 27001:2022 (TÜV Rheinland, gültig bis 04/2027), BSI-Grundschutz (Selbstbewertung)</w:t>
            </w:r>
          </w:p>
        </w:tc>
      </w:tr>
      <w:tr>
        <w:trPr>
          <w:cantSplit/>
        </w:trPr>
        <w:tc>
          <w:tcPr>
            <w:tcW w:type="dxa" w:w="30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Berufshaftpflicht</w:t>
            </w:r>
          </w:p>
        </w:tc>
        <w:tc>
          <w:tcPr>
            <w:tcW w:type="dxa" w:w="598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 Mio. EUR je Schadensfall (Allianz Versicherungs-AG)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t>2. Angebotspreise</w:t>
      </w:r>
    </w:p>
    <w:p>
      <w:pPr>
        <w:pStyle w:val="Heading2"/>
      </w:pPr>
      <w:r>
        <w:t>2.1 Gesamtpreisübersicht (netto, 4 Jahre Grundlaufzeit)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3392"/>
        <w:gridCol w:w="2783"/>
        <w:gridCol w:w="2896"/>
      </w:tblGrid>
      <w:tr>
        <w:trPr>
          <w:tblHeader w:val="true"/>
          <w:cantSplit/>
        </w:trPr>
        <w:tc>
          <w:tcPr>
            <w:tcW w:type="dxa" w:w="33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278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Jahrespreis netto</w:t>
            </w:r>
          </w:p>
        </w:tc>
        <w:tc>
          <w:tcPr>
            <w:tcW w:type="dxa" w:w="28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4-Jahres-Preis</w:t>
            </w:r>
          </w:p>
        </w:tc>
      </w:tr>
      <w:tr>
        <w:trPr>
          <w:cantSplit/>
        </w:trPr>
        <w:tc>
          <w:tcPr>
            <w:tcW w:type="dxa" w:w="33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Los 1: SOC Managed Service</w:t>
            </w:r>
          </w:p>
        </w:tc>
        <w:tc>
          <w:tcPr>
            <w:tcW w:type="dxa" w:w="278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420.000 EUR</w:t>
            </w:r>
          </w:p>
        </w:tc>
        <w:tc>
          <w:tcPr>
            <w:tcW w:type="dxa" w:w="28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1.680.000 EUR</w:t>
            </w:r>
          </w:p>
        </w:tc>
      </w:tr>
      <w:tr>
        <w:trPr>
          <w:cantSplit/>
        </w:trPr>
        <w:tc>
          <w:tcPr>
            <w:tcW w:type="dxa" w:w="33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Los 2: ISB-Beratung</w:t>
            </w:r>
          </w:p>
        </w:tc>
        <w:tc>
          <w:tcPr>
            <w:tcW w:type="dxa" w:w="278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165.000 EUR</w:t>
            </w:r>
          </w:p>
        </w:tc>
        <w:tc>
          <w:tcPr>
            <w:tcW w:type="dxa" w:w="28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660.000 EUR</w:t>
            </w:r>
          </w:p>
        </w:tc>
      </w:tr>
      <w:tr>
        <w:trPr>
          <w:cantSplit/>
        </w:trPr>
        <w:tc>
          <w:tcPr>
            <w:tcW w:type="dxa" w:w="33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Gesamtangebot</w:t>
            </w:r>
          </w:p>
        </w:tc>
        <w:tc>
          <w:tcPr>
            <w:tcW w:type="dxa" w:w="278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585.000 EUR</w:t>
            </w:r>
          </w:p>
        </w:tc>
        <w:tc>
          <w:tcPr>
            <w:tcW w:type="dxa" w:w="28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2.340.000 EUR</w:t>
            </w:r>
          </w:p>
        </w:tc>
      </w:tr>
    </w:tbl>
    <w:p>
      <w:pPr>
        <w:spacing w:after="0" w:before="40"/>
      </w:pPr>
    </w:p>
    <w:p>
      <w:r>
        <w:t>Optionsjahre (je 12 Monate):</w:t>
      </w:r>
    </w:p>
    <w:p>
      <w:pPr>
        <w:pStyle w:val="ListBullet"/>
      </w:pPr>
      <w:r>
        <w:t>Option 1 (Jahr 5): 598.000 EUR</w:t>
      </w:r>
    </w:p>
    <w:p>
      <w:pPr>
        <w:pStyle w:val="ListBullet"/>
      </w:pPr>
      <w:r>
        <w:t>Option 2 (Jahr 6): 612.000 EUR</w:t>
      </w:r>
    </w:p>
    <w:p>
      <w:pPr>
        <w:pStyle w:val="Heading2"/>
      </w:pPr>
      <w:r>
        <w:t>2.2 Preisstruktur Los 1 (Jahrespauschale netto)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504"/>
        <w:gridCol w:w="3567"/>
      </w:tblGrid>
      <w:tr>
        <w:trPr>
          <w:tblHeader w:val="true"/>
          <w:cantSplit/>
        </w:trPr>
        <w:tc>
          <w:tcPr>
            <w:tcW w:type="dxa" w:w="55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Leistungsbereich</w:t>
            </w:r>
          </w:p>
        </w:tc>
        <w:tc>
          <w:tcPr>
            <w:tcW w:type="dxa" w:w="35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Betrag</w:t>
            </w:r>
          </w:p>
        </w:tc>
      </w:tr>
      <w:tr>
        <w:trPr>
          <w:cantSplit/>
        </w:trPr>
        <w:tc>
          <w:tcPr>
            <w:tcW w:type="dxa" w:w="55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SIEM-Betrieb (inkl. Lizenzen)</w:t>
            </w:r>
          </w:p>
        </w:tc>
        <w:tc>
          <w:tcPr>
            <w:tcW w:type="dxa" w:w="35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180.000 EUR</w:t>
            </w:r>
          </w:p>
        </w:tc>
      </w:tr>
      <w:tr>
        <w:trPr>
          <w:cantSplit/>
        </w:trPr>
        <w:tc>
          <w:tcPr>
            <w:tcW w:type="dxa" w:w="55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SOC-Analysten 24/7 (L1-L3)</w:t>
            </w:r>
          </w:p>
        </w:tc>
        <w:tc>
          <w:tcPr>
            <w:tcW w:type="dxa" w:w="35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160.000 EUR</w:t>
            </w:r>
          </w:p>
        </w:tc>
      </w:tr>
      <w:tr>
        <w:trPr>
          <w:cantSplit/>
        </w:trPr>
        <w:tc>
          <w:tcPr>
            <w:tcW w:type="dxa" w:w="55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Threat Intelligence (Feeds + Analyse)</w:t>
            </w:r>
          </w:p>
        </w:tc>
        <w:tc>
          <w:tcPr>
            <w:tcW w:type="dxa" w:w="35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35.000 EUR</w:t>
            </w:r>
          </w:p>
        </w:tc>
      </w:tr>
      <w:tr>
        <w:trPr>
          <w:cantSplit/>
        </w:trPr>
        <w:tc>
          <w:tcPr>
            <w:tcW w:type="dxa" w:w="55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Vulnerability Management</w:t>
            </w:r>
          </w:p>
        </w:tc>
        <w:tc>
          <w:tcPr>
            <w:tcW w:type="dxa" w:w="35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25.000 EUR</w:t>
            </w:r>
          </w:p>
        </w:tc>
      </w:tr>
      <w:tr>
        <w:trPr>
          <w:cantSplit/>
        </w:trPr>
        <w:tc>
          <w:tcPr>
            <w:tcW w:type="dxa" w:w="55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Incident Response Bereitschaft</w:t>
            </w:r>
          </w:p>
        </w:tc>
        <w:tc>
          <w:tcPr>
            <w:tcW w:type="dxa" w:w="35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20.000 EUR</w:t>
            </w:r>
          </w:p>
        </w:tc>
      </w:tr>
      <w:tr>
        <w:trPr>
          <w:cantSplit/>
        </w:trPr>
        <w:tc>
          <w:tcPr>
            <w:tcW w:type="dxa" w:w="55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Summe Los 1</w:t>
            </w:r>
          </w:p>
        </w:tc>
        <w:tc>
          <w:tcPr>
            <w:tcW w:type="dxa" w:w="35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420.000 EUR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t>3. Konzeptbeschreibung (Auszug)</w:t>
      </w:r>
    </w:p>
    <w:p>
      <w:pPr>
        <w:pStyle w:val="Heading2"/>
      </w:pPr>
      <w:r>
        <w:t>3.1 SOC-Konzept</w:t>
      </w:r>
    </w:p>
    <w:p>
      <w:r>
        <w:t>CyberShield betreibt sein SOC seit Januar 2020 in einem eigenständigen, nach ISO 27001 zertifizierten Hochsicherheits-Rechenzentrum in Berlin-Adlershof. Das SOC ist besetzt mit:</w:t>
      </w:r>
    </w:p>
    <w:p>
      <w:pPr>
        <w:pStyle w:val="ListBullet"/>
      </w:pPr>
      <w:r>
        <w:t>8 SOC-Analysten L1 (Schichtbetrieb 24/7)</w:t>
      </w:r>
    </w:p>
    <w:p>
      <w:pPr>
        <w:pStyle w:val="ListBullet"/>
      </w:pPr>
      <w:r>
        <w:t>4 SOC-Analysten L2 (Tagesschicht + Rufbereitschaft)</w:t>
      </w:r>
    </w:p>
    <w:p>
      <w:pPr>
        <w:pStyle w:val="ListBullet"/>
      </w:pPr>
      <w:r>
        <w:t>2 SOC-Analysten L3 / Incident Responder (Rufbereitschaft 24/7)</w:t>
      </w:r>
    </w:p>
    <w:p>
      <w:r>
        <w:t>Als SIEM-Plattform kommt IBM QRadar SIEM (Enterprise Edition) zum Einsatz, ergänzt durch ein selbstentwickeltes OT-Monitoring-Modul auf Basis von Claroty-Sensoren (passives OT-Monitoring).</w:t>
      </w:r>
    </w:p>
    <w:p>
      <w:pPr>
        <w:keepNext/>
        <w:keepLines/>
      </w:pPr>
      <w:r>
        <w:t>CyberShield hat in den Jahren 2022-2025 drei Managed-SOC-Verträge mit KRITIS-Betreibern (Stadtwerke-Verbund) erfolgreich erbracht. Die Referenzen sind in der Anlage Referenzliste (Aktenstück 05) dokumentiert.</w:t>
      </w:r>
    </w:p>
    <w:p>
      <w:pPr>
        <w:pStyle w:val="Heading2"/>
        <w:keepNext/>
        <w:keepLines/>
      </w:pPr>
      <w:r>
        <w:t>3.2 ISB-Beratungskonzept</w:t>
      </w:r>
    </w:p>
    <w:p>
      <w:pPr>
        <w:keepNext/>
        <w:keepLines/>
      </w:pPr>
      <w:r>
        <w:t>Als ISB wird Herr Dipl.-Ing. Marcus Karpinski (CISM, BSI-Grundschutz-Auditor) eingesetzt. Herr Karpinski verfügt über 12 Jahre Erfahrung in der IT-Sicherheitsberatung kommunaler Unternehmen und hat zuletzt als externer ISB bei den Stadtwerken Rostock GmbH gewirkt.</w:t>
      </w:r>
    </w:p>
    <w:p>
      <w:pPr>
        <w:pStyle w:val="Heading2"/>
        <w:keepNext/>
        <w:keepLines/>
      </w:pPr>
      <w:r>
        <w:t>3.3 OT-Kompetenz ÖPNV</w:t>
      </w:r>
    </w:p>
    <w:p>
      <w:pPr>
        <w:keepNext/>
        <w:keepLines/>
      </w:pPr>
      <w:r>
        <w:t>CyberShield weist in seinem Konzept auf folgende OT-spezifische Kompetenzen hin:</w:t>
      </w:r>
    </w:p>
    <w:p>
      <w:pPr>
        <w:pStyle w:val="ListBullet"/>
        <w:keepNext/>
        <w:keepLines/>
      </w:pPr>
      <w:r>
        <w:t>Durchgeführte OT-Security-Assessments für Stadtwerke mit Straßenbahnbetrieb</w:t>
      </w:r>
    </w:p>
    <w:p>
      <w:pPr>
        <w:pStyle w:val="ListBullet"/>
        <w:keepNext/>
        <w:keepLines/>
      </w:pPr>
      <w:r>
        <w:t>Kenntnisse IEC 62443 (Industrial Cybersecurity Standard)</w:t>
      </w:r>
    </w:p>
    <w:p>
      <w:pPr>
        <w:pStyle w:val="ListBullet"/>
        <w:keepNext/>
        <w:keepLines/>
      </w:pPr>
      <w:r>
        <w:t>Anbindung an BSI-Informationsverbund KRITIS (ICS-CERT-Partner)</w:t>
      </w:r>
    </w:p>
    <w:p>
      <w:pPr>
        <w:pStyle w:val="ListBullet"/>
        <w:keepNext/>
        <w:keepLines/>
      </w:pPr>
      <w:r>
        <w:t>Aktives Mitglied UP KRITIS (Arbeitsgruppe Verkehr und Infrastruktur)</w:t>
      </w:r>
    </w:p>
    <w:p>
      <w:pPr>
        <w:pStyle w:val="Heading1"/>
        <w:keepLines/>
      </w:pPr>
      <w:r>
        <w:t>4. Formale Vollständigkeit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289"/>
        <w:gridCol w:w="3782"/>
      </w:tblGrid>
      <w:tr>
        <w:trPr>
          <w:tblHeader w:val="true"/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Unterlage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Vorhanden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Unterzeichnetes Angebotsanschreiben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Preisblatt vollständig ausgefüllt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Eigenerklärung Ausschlussgründe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Umsatzerklärung (testiert)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Versicherungsnachweis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ISO 27001-Zertifikat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 (gültig bis 04/2027)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Referenzblätter (3 Stück)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Lebensläufe Schlüsselpersonal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SOC-Konzept (26 Seiten)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ISB-Konzept (12 Seiten)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528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Datenschutzkonzept + AVV-Entwurf</w:t>
            </w:r>
          </w:p>
        </w:tc>
        <w:tc>
          <w:tcPr>
            <w:tcW w:type="dxa" w:w="37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</w:tr>
    </w:tbl>
    <w:p>
      <w:pPr>
        <w:spacing w:after="0" w:before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VK 4/26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CyberShield Defense GmbH</w:t>
      <w:t xml:space="preserve">  |  VK 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Angebotszusammenfassung CyberShield Defense GmbH</dc:title>
  <dc:subject>Vergabeakte | Az. VK 4/26</dc:subject>
  <dc:creator>CyberShield Defense GmbH</dc:creator>
  <cp:keywords>Vergaberecht, VK 4/26</cp:keywords>
  <dc:description>generated by python-docx</dc:description>
  <cp:lastModifiedBy>CyberShield Defense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