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3. Vergabekammer Mecklenburg-Vorpommern</w:t>
            </w:r>
          </w:p>
          <w:p>
            <w:pPr>
              <w:spacing w:after="0"/>
            </w:pPr>
            <w:r>
              <w:rPr>
                <w:color w:val="646464"/>
                <w:sz w:val="18"/>
              </w:rPr>
              <w:t>Johannes-Stelling-Straße 14, 19053 Schwerin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25.06.2026</w:t>
              <w:br/>
            </w:r>
            <w:r>
              <w:rPr>
                <w:rFonts w:ascii="Times New Roman" w:hAnsi="Times New Roman"/>
                <w:color w:val="646464"/>
                <w:sz w:val="18"/>
              </w:rPr>
              <w:t>Aktenzeichen: VK 4/26</w:t>
            </w:r>
          </w:p>
        </w:tc>
      </w:tr>
    </w:tbl>
    <w:p>
      <w:pPr>
        <w:pStyle w:val="Title"/>
      </w:pPr>
      <w:r>
        <w:t>Beschluss der Vergabekammer Mecklenburg-Vorpommern</w:t>
      </w:r>
    </w:p>
    <w:p>
      <w:r>
        <w:t>Aktenzeichen: 3 VK 4/26 Datum: 25.06.2026</w:t>
      </w:r>
    </w:p>
    <w:p>
      <w:pPr>
        <w:pStyle w:val="Heading1"/>
      </w:pPr>
      <w:r>
        <w:t>Beschluss</w:t>
      </w:r>
    </w:p>
    <w:p>
      <w:r>
        <w:t>In dem Nachprüfungsverfahren</w:t>
      </w:r>
    </w:p>
    <w:p>
      <w:r>
        <w:t>Antragstellerin: CyberShield Defense GmbH, Berlin Antragsgegnerin: Landeshauptstadt Schwerin, Eigenbetrieb SDS Beigeladene: ProtectIT SE, Bonn</w:t>
      </w:r>
    </w:p>
    <w:p>
      <w:r>
        <w:t>haben die Vergabekammern des Landes Mecklenburg-Vorpommern am 25.06.2026 beschlossen:</w:t>
      </w:r>
    </w:p>
    <w:p>
      <w:pPr>
        <w:pStyle w:val="Heading1"/>
      </w:pPr>
      <w:r>
        <w:t>Tenor</w:t>
      </w:r>
    </w:p>
    <w:p>
      <w:pPr>
        <w:pStyle w:val="ListNumber"/>
      </w:pPr>
      <w:r>
        <w:t>Der Antragsgegnerin wird untersagt, auf Grundlage der bisherigen Eignungsprüfung den Zuschlag zu erteilen.</w:t>
      </w:r>
    </w:p>
    <w:p>
      <w:pPr>
        <w:pStyle w:val="ListNumber"/>
      </w:pPr>
      <w:r>
        <w:t>Die Antragsgegnerin hat den Ausschluss der Antragstellerin aufzuheben und deren Referenzen anhand des bekannt gemachten Kriteriums T-2 neu zu prüfen.</w:t>
      </w:r>
    </w:p>
    <w:p>
      <w:pPr>
        <w:pStyle w:val="ListNumber"/>
      </w:pPr>
      <w:r>
        <w:t>Bei der Neuwertung darf nur das bis zum Ablauf der Angebotsfrist eingereichte Reaktionszeitenkonzept der Beigeladenen berücksichtigt werden.</w:t>
      </w:r>
    </w:p>
    <w:p>
      <w:pPr>
        <w:pStyle w:val="ListNumber"/>
      </w:pPr>
      <w:r>
        <w:t>Im Übrigen wird der Antrag zurückgewiesen.</w:t>
      </w:r>
    </w:p>
    <w:p>
      <w:pPr>
        <w:pStyle w:val="ListNumber"/>
      </w:pPr>
      <w:r>
        <w:t>Die Antragsgegnerin trägt die Kosten des Verfahrens und die zur zweckentsprechenden Rechtsverfolgung notwendigen Aufwendungen der Antragstellerin. Die Hinzuziehung anwaltlicher Bevollmächtigter war notwendig.</w:t>
      </w:r>
    </w:p>
    <w:p>
      <w:pPr>
        <w:pStyle w:val="Heading1"/>
      </w:pPr>
      <w:r>
        <w:t>Gründe</w:t>
      </w:r>
    </w:p>
    <w:p>
      <w:pPr>
        <w:pStyle w:val="Heading2"/>
      </w:pPr>
      <w:r>
        <w:t>1. Zuständigkeit und Zulässigkeit</w:t>
      </w:r>
    </w:p>
    <w:p>
      <w:r>
        <w:t>Die Antragsgegnerin ist eine kommunale Auftraggeberin mit Sitz in Mecklenburg-Vorpommern. Die Landesvergabekammer ist nach § 159 Abs. 2 und 3 GWB zuständig. Ein Bezug zu IT-Sicherheit oder kritischen Anlagen ändert die organisationsrechtliche Zuordnung nicht.</w:t>
      </w:r>
    </w:p>
    <w:p>
      <w:r>
        <w:t>Die Antragstellerin hat Antragsbefugnis und eine reale Zuschlagschance schlüssig dargelegt (§ 160 Abs. 2 GWB). Sie erkannte die konkrete Verschärfung des Eignungskriteriums erstmals aus dem Ausschlussschreiben vom 14.04.2026 und rügte sie am 17.04.2026. Damit ist die Zehn-Kalendertage-Frist des § 160 Abs. 3 Satz 1 Nr. 1 GWB gewahrt. Der Antrag ging zwei Tage nach der Nichtabhilfe und damit innerhalb der Frist aus § 160 Abs. 3 Satz 1 Nr. 4 GWB ein.</w:t>
      </w:r>
    </w:p>
    <w:p>
      <w:pPr>
        <w:pStyle w:val="Heading2"/>
      </w:pPr>
      <w:r>
        <w:t>2. Eignungskriterium T-2</w:t>
      </w:r>
    </w:p>
    <w:p>
      <w:r>
        <w:t>Das Wort bevorzugt lässt aus Sicht eines fachkundigen Bieters keine zwingende Beschränkung auf Referenzen unmittelbarer Bus- und Bahnbetreiber erkennen. Eine solche Anforderung hätte klar bekannt gemacht werden müssen. Die erst im Wertungsvorgang dokumentierte Verengung verletzt § 97 Abs. 1 und 2 sowie § 122 Abs. 4 GWB.</w:t>
      </w:r>
    </w:p>
    <w:p>
      <w:r>
        <w:t>Für die objektive Auslegung sind BGH, Urteil vom 20.11.2012, X ZR 108/10, Friedhofserweiterung, und BGH, Urteil vom 13.09.2022, XIII ZR 9/20, Deponiekosten, heranzuziehen. Die Vergabestelle besitzt bei der Bewertung von Tatsachen einen Beurteilungsspielraum; sie darf aber den zuvor bekannt gemachten Prüfungsmaßstab nicht nachträglich ändern.</w:t>
      </w:r>
    </w:p>
    <w:p>
      <w:pPr>
        <w:pStyle w:val="Heading2"/>
      </w:pPr>
      <w:r>
        <w:t>3. Angebot der Beigeladenen</w:t>
      </w:r>
    </w:p>
    <w:p>
      <w:r>
        <w:t>Der Versionsvergleich ergibt, dass die nach Fristablauf eingereichte Fassung die Reaktionszeit für Severity-2-Vorfälle verändert. Das ist keine bloße Erläuterung. Im offenen Verfahren dürfen Angebote nach § 15 Abs. 5 VgV nicht geändert werden. Ob die ursprüngliche Fassung die Mindestanforderungen erfüllt und wie sie zu bewerten ist, hat die Antragsgegnerin neu zu entscheiden.</w:t>
      </w:r>
    </w:p>
    <w:p>
      <w:pPr>
        <w:pStyle w:val="Heading2"/>
      </w:pPr>
      <w:r>
        <w:t>4. Gesonderter Pilotvertrag</w:t>
      </w:r>
    </w:p>
    <w:p>
      <w:pPr>
        <w:keepNext/>
        <w:keepLines/>
      </w:pPr>
      <w:r>
        <w:t>Der Antrag im vorliegenden Verfahren bezeichnet den im Dezember 2025 geschlossenen SOC-Pilotvertrag nicht mit einem eigenständigen, fristbezogenen Unwirksamkeitsbegehren. Über eine Unwirksamkeit nach § 135 Abs. 1 Nr. 2 GWB wird daher nicht entschieden. Ein entsprechendes Begehren ist als Nachprüfungsantrag bei der zuständigen Vergabekammer innerhalb der Fristen des § 135 Abs. 2 GWB geltend zu machen; es handelt sich nicht um eine unmittelbar beim Oberlandesgericht zu erhebende Feststellungsklage.</w:t>
      </w:r>
    </w:p>
    <w:p>
      <w:pPr>
        <w:pStyle w:val="Heading2"/>
        <w:keepNext/>
        <w:keepLines/>
      </w:pPr>
      <w:r>
        <w:t>5. Kosten</w:t>
      </w:r>
    </w:p>
    <w:p>
      <w:pPr>
        <w:keepNext/>
        <w:keepLines/>
      </w:pPr>
      <w:r>
        <w:t>Die Gebührenentscheidung beruht auf § 182 GWB. Die konkrete Gebühr wird gesondert anhand des Verwaltungsaufwands und der wirtschaftlichen Bedeutung festgesetzt; eine frei erfundene lineare Auftragswertformel wird nicht verwendet.</w:t>
      </w:r>
    </w:p>
    <w:p>
      <w:pPr>
        <w:pStyle w:val="Heading1"/>
        <w:keepNext/>
        <w:keepLines/>
      </w:pPr>
      <w:r>
        <w:t>Rechtsmittelbelehrung</w:t>
      </w:r>
    </w:p>
    <w:p>
      <w:pPr>
        <w:keepNext/>
        <w:keepLines/>
      </w:pPr>
      <w:r>
        <w:t>Gegen diesen Beschluss ist binnen zwei Wochen nach Zustellung die sofortige Beschwerde nach §§ 171 ff. GWB zum Oberlandesgericht Rostock zulässig. Die Beschwerde ist durch einen Rechtsanwalt einzulegen und zugleich zu begründen (§ 172 GWB).</w:t>
      </w:r>
    </w:p>
    <w:p>
      <w:pPr>
        <w:keepNext/>
        <w:keepLines/>
      </w:pPr>
      <w:r>
        <w:t>Schwerin, 25. Juni 2026</w:t>
      </w:r>
    </w:p>
    <w:p>
      <w:pPr>
        <w:keepLines/>
      </w:pPr>
      <w:r>
        <w:t>Vergabekammern des Landes Mecklenburg-Vorpommern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4/26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3. Vergabekammer Mecklenburg-Vorpommern</w:t>
      <w:t xml:space="preserve">  |  VK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Beschluss der Vergabekammer Mecklenburg-Vorpommern</dc:title>
  <dc:subject>Vergabeakte | Az. VK 4/26</dc:subject>
  <dc:creator>3. Vergabekammer Mecklenburg-Vorpommern</dc:creator>
  <cp:keywords>Vergaberecht, VK 4/26</cp:keywords>
  <dc:description>generated by python-docx</dc:description>
  <cp:lastModifiedBy>3. Vergabekammer Mecklenburg-Vorpommern</cp:lastModifiedBy>
  <cp:revision>1</cp:revision>
  <dcterms:created xsi:type="dcterms:W3CDTF">2000-01-01T00:00:00Z</dcterms:created>
  <dcterms:modified xsi:type="dcterms:W3CDTF">2000-01-01T00:00:00Z</dcterms:modified>
  <cp:category>Vergabeakte</cp:category>
</cp:coreProperties>
</file>