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Bährens Vergaberecht Rechtsanwaltsgesellschaft mbH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Unter den Linden 48, 10117 Berlin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09.07.2026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VK 4/26</w:t>
            </w:r>
          </w:p>
        </w:tc>
      </w:tr>
    </w:tbl>
    <w:p>
      <w:pPr>
        <w:pStyle w:val="Title"/>
      </w:pPr>
      <w:r>
        <w:t>Sofortige Beschwerde zum Oberlandesgericht Rostock</w:t>
      </w:r>
    </w:p>
    <w:p>
      <w:r>
        <w:t>Aktenzeichen Beschwerde: 17 Verg 2/26 Ausgangsverfahren: Vergabekammer Mecklenburg-Vorpommern, 3 VK 4/26 Datum: 09.07.2026</w:t>
      </w:r>
    </w:p>
    <w:p>
      <w:r>
        <w:t>An das Oberlandesgericht Rostock</w:t>
      </w:r>
    </w:p>
    <w:p>
      <w:pPr>
        <w:pStyle w:val="ListBullet"/>
      </w:pPr>
      <w:r>
        <w:t>Vergabesenat -</w:t>
      </w:r>
    </w:p>
    <w:p>
      <w:r>
        <w:t>Wallstraße 3 18055 Rostock</w:t>
      </w:r>
    </w:p>
    <w:p>
      <w:pPr>
        <w:pStyle w:val="Heading1"/>
      </w:pPr>
      <w:r>
        <w:t>Sofortige Beschwerde nach §§ 171 und 172 GWB</w:t>
      </w:r>
    </w:p>
    <w:p>
      <w:r>
        <w:t>Beschwerdeführerin: Landeshauptstadt Schwerin, Eigenbetrieb SDS Beschwerdegegnerin: CyberShield Defense GmbH Beigeladene: ProtectIT SE</w:t>
      </w:r>
    </w:p>
    <w:p>
      <w:r>
        <w:t>Gegen den am 25.06.2026 erlassenen und am 26.06.2026 zugestellten Beschluss 3 VK 4/26 legt die Beschwerdeführerin innerhalb von zwei Wochen sofortige Beschwerde ein und begründet sie zugleich.</w:t>
      </w:r>
    </w:p>
    <w:p>
      <w:pPr>
        <w:pStyle w:val="Heading1"/>
      </w:pPr>
      <w:r>
        <w:t>1. Anträge</w:t>
      </w:r>
    </w:p>
    <w:p>
      <w:r>
        <w:t>Das Vergabeverfahren begann mit der Auftragsbekanntmachung im Februar 2026. Nach § 187 Abs. 2 GWB ist deshalb einschließlich des Beschwerdeverfahrens das bei Verfahrensbeginn geltende Recht anzuwenden. Der Verlängerungsantrag nach § 173 Abs. 1 Satz 3 GWB in der bis 30.06.2026 geltenden Fassung war nur nach Ablehnung des Nachprüfungsantrags eröffnet. Die Vergabestelle greift hier dagegen eine stattgebende Zuschlagsuntersagung an; ein solcher Verlängerungsantrag wird nicht gestellt.</w:t>
      </w:r>
    </w:p>
    <w:p>
      <w:r>
        <w:t>Die Beschwerdeführerin beantragt,</w:t>
      </w:r>
    </w:p>
    <w:p>
      <w:pPr>
        <w:pStyle w:val="ListNumber"/>
      </w:pPr>
      <w:r>
        <w:t>den Beschluss in den Nummern 1 bis 3 und 5 aufzuheben und den Nachprüfungsantrag zurückzuweisen,</w:t>
      </w:r>
    </w:p>
    <w:p>
      <w:pPr>
        <w:pStyle w:val="ListNumber"/>
      </w:pPr>
      <w:r>
        <w:t>hilfsweise die Sache unter Beachtung der Rechtsauffassung des Senats zur erneuten Entscheidung zurückzuverweisen.</w:t>
      </w:r>
    </w:p>
    <w:p>
      <w:r>
        <w:t>Ein Antrag auf Vorabgestattung des Zuschlags nach § 176 GWB wird mangels belegter Eilbedürftigkeit nicht mit dieser Beschwerde verbunden.</w:t>
      </w:r>
    </w:p>
    <w:p>
      <w:pPr>
        <w:pStyle w:val="Heading1"/>
      </w:pPr>
      <w:r>
        <w:t>2. Beschwerdeangriff</w:t>
      </w:r>
    </w:p>
    <w:p>
      <w:pPr>
        <w:pStyle w:val="Heading2"/>
      </w:pPr>
      <w:r>
        <w:t>2.1 Auslegung und Bewertung sind zu trennen</w:t>
      </w:r>
    </w:p>
    <w:p>
      <w:r>
        <w:t>Die Beschwerdeführerin macht geltend, der Leistungszusammenhang habe T-2 hinreichend konkretisiert. Dabei ist rechtlich zwischen der objektiven Auslegung der Vergabeunterlagen und dem Beurteilungsspielraum bei der Bewertung nach dem feststehenden Maßstab zu trennen. BGH, Urteil vom 20.11.2012, X ZR 108/10, Friedhofserweiterung, und BGH, Urteil vom 13.09.2022, XIII ZR 9/20, Deponiekosten, bilden den Ausgangspunkt. Die Beschwerde muss deshalb konkret darlegen, welche Textstelle einen fachkundigen Bieter bereits vor Angebotsabgabe auf die behauptete Muss-Anforderung verwies.</w:t>
      </w:r>
    </w:p>
    <w:p>
      <w:pPr>
        <w:pStyle w:val="Heading2"/>
      </w:pPr>
      <w:r>
        <w:t>2.2 Vergleichbarkeit der VVS-Referenz</w:t>
      </w:r>
    </w:p>
    <w:p>
      <w:pPr>
        <w:keepNext/>
        <w:keepLines/>
      </w:pPr>
      <w:r>
        <w:t>Die Vergabekammer hat nach Auffassung der Beschwerdeführerin die technischen Unterschiede zwischen Beratungsleistungen und dauerhaftem SOC-Betrieb unterschätzt. Beweis: Leistungsbeschreibung VVS, Referenzbestätigung und Aussage der technischen Projektleitung. Die bloße Einordnung eines Referenzgebers als ÖPNV-nah ersetzt jedoch nicht die Prüfung von Inhalt, Umfang und Komplexität.</w:t>
      </w:r>
    </w:p>
    <w:p>
      <w:pPr>
        <w:pStyle w:val="Heading2"/>
        <w:keepNext/>
        <w:keepLines/>
      </w:pPr>
      <w:r>
        <w:t>2.3 Nachgereichtes Reaktionszeitenkonzept</w:t>
      </w:r>
    </w:p>
    <w:p>
      <w:pPr>
        <w:keepNext/>
        <w:keepLines/>
      </w:pPr>
      <w:r>
        <w:t>Die Beschwerdeführerin behauptet, die zweite Fassung habe einen redaktionellen Zahlendreher berichtigt. § 15 Abs. 5 VgV erlaubt Aufklärung, aber keine Angebotsänderung. Entscheidend sind Originaldatei, Zeitstempel, Aufklärungsfrage und Auswirkungen auf Mindestanforderung und Wertung; eine nachträgliche Umdeutung genügt nicht.</w:t>
      </w:r>
    </w:p>
    <w:p>
      <w:pPr>
        <w:pStyle w:val="Heading1"/>
        <w:keepNext/>
        <w:keepLines/>
      </w:pPr>
      <w:r>
        <w:t>3. Fristen und Belege</w:t>
      </w:r>
    </w:p>
    <w:tbl>
      <w:tblPr>
        <w:tblStyle w:val="TableGrid"/>
        <w:tblW w:type="dxa" w:w="9070"/>
        <w:jc w:val="left"/>
        <w:tblLayout w:type="fixed"/>
        <w:tblLook w:firstColumn="1" w:firstRow="1" w:lastColumn="0" w:lastRow="0" w:noHBand="0" w:noVBand="1" w:val="04A0"/>
      </w:tblPr>
      <w:tblGrid>
        <w:gridCol w:w="2929"/>
        <w:gridCol w:w="2443"/>
        <w:gridCol w:w="3698"/>
      </w:tblGrid>
      <w:tr>
        <w:trPr>
          <w:tblHeader w:val="true"/>
          <w:cantSplit/>
        </w:trPr>
        <w:tc>
          <w:tcPr>
            <w:tcW w:type="dxa" w:w="292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Ereignis</w:t>
            </w:r>
          </w:p>
        </w:tc>
        <w:tc>
          <w:tcPr>
            <w:tcW w:type="dxa" w:w="24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36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Beleg</w:t>
            </w:r>
          </w:p>
        </w:tc>
      </w:tr>
      <w:tr>
        <w:trPr>
          <w:cantSplit/>
        </w:trPr>
        <w:tc>
          <w:tcPr>
            <w:tcW w:type="dxa" w:w="292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Zustellung VK-Beschluss</w:t>
            </w:r>
          </w:p>
        </w:tc>
        <w:tc>
          <w:tcPr>
            <w:tcW w:type="dxa" w:w="24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26.06.2026</w:t>
            </w:r>
          </w:p>
        </w:tc>
        <w:tc>
          <w:tcPr>
            <w:tcW w:type="dxa" w:w="36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elektronisches Empfangsbekenntnis B-1</w:t>
            </w:r>
          </w:p>
        </w:tc>
      </w:tr>
      <w:tr>
        <w:trPr>
          <w:cantSplit/>
        </w:trPr>
        <w:tc>
          <w:tcPr>
            <w:tcW w:type="dxa" w:w="292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Ende Zweiwochenfrist</w:t>
            </w:r>
          </w:p>
        </w:tc>
        <w:tc>
          <w:tcPr>
            <w:tcW w:type="dxa" w:w="24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10.07.2026</w:t>
            </w:r>
          </w:p>
        </w:tc>
        <w:tc>
          <w:tcPr>
            <w:tcW w:type="dxa" w:w="36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Fristenblatt B-2</w:t>
            </w:r>
          </w:p>
        </w:tc>
      </w:tr>
      <w:tr>
        <w:trPr>
          <w:cantSplit/>
        </w:trPr>
        <w:tc>
          <w:tcPr>
            <w:tcW w:type="dxa" w:w="292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Einlegung und Begründung</w:t>
            </w:r>
          </w:p>
        </w:tc>
        <w:tc>
          <w:tcPr>
            <w:tcW w:type="dxa" w:w="24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09.07.2026</w:t>
            </w:r>
          </w:p>
        </w:tc>
        <w:tc>
          <w:tcPr>
            <w:tcW w:type="dxa" w:w="36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beA-Protokoll B-3</w:t>
            </w:r>
          </w:p>
        </w:tc>
      </w:tr>
    </w:tbl>
    <w:p>
      <w:pPr>
        <w:spacing w:after="0" w:before="40"/>
      </w:pPr>
    </w:p>
    <w:p>
      <w:pPr>
        <w:keepNext/>
        <w:keepLines/>
      </w:pPr>
      <w:r>
        <w:t>Die Beschwerdeunterlagen enthalten den angegriffenen Beschluss, die Vergabeunterlagen, beide Konzeptfassungen, das Aufklärungsprotokoll und die Referenzbelege.</w:t>
      </w:r>
    </w:p>
    <w:p>
      <w:pPr>
        <w:keepLines/>
      </w:pPr>
      <w:r>
        <w:t>Rechtsanwältin Dr. Maren Mertke für die Landeshauptstadt Schwerin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VK 4/26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Bährens Vergaberecht Rechtsanwaltsgesellschaft mbH</w:t>
      <w:t xml:space="preserve">  |  VK 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Sofortige Beschwerde zum Oberlandesgericht Rostock</dc:title>
  <dc:subject>Vergabeakte | Az. VK 4/26</dc:subject>
  <dc:creator>Bährens Vergaberecht Rechtsanwaltsgesellschaft mbH</dc:creator>
  <cp:keywords>Vergaberecht, VK 4/26</cp:keywords>
  <dc:description>generated by python-docx</dc:description>
  <cp:lastModifiedBy>Bährens Vergaberecht Rechtsanwaltsgesellschaft mbH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