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Bährens Vergaberecht Rechtsanwaltsgesellschaft mbH</w:t>
            </w:r>
          </w:p>
          <w:p>
            <w:pPr>
              <w:spacing w:after="0"/>
            </w:pPr>
            <w:r>
              <w:rPr>
                <w:color w:val="646464"/>
                <w:sz w:val="18"/>
              </w:rPr>
              <w:t>Unter den Linden 48, 10117 Berlin</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20.06.2026</w:t>
            </w:r>
          </w:p>
        </w:tc>
      </w:tr>
    </w:tbl>
    <w:p>
      <w:pPr>
        <w:pStyle w:val="Title"/>
      </w:pPr>
      <w:r>
        <w:t>Sachverhalts- und Fristenvermerk zum SOC-Pilotvertrag</w:t>
      </w:r>
    </w:p>
    <w:p>
      <w:r>
        <w:t>Datum: 20.06.2026 Bearbeitung: Kanzlei Bährens Vergaberecht</w:t>
      </w:r>
    </w:p>
    <w:p>
      <w:pPr>
        <w:pStyle w:val="Heading1"/>
      </w:pPr>
      <w:r>
        <w:t>1. Gesicherte Tatsachen</w:t>
      </w:r>
    </w:p>
    <w:p>
      <w:r>
        <w:t>Die Nahverkehr Schwerin GmbH schloss am 30.12.2025 einen bis 30.06.2026 befristeten Vertrag über SOC-Pilotbetrieb und Sicherheitsmonitoring. Nach Auskunft der Auftraggeberseite beträgt das Auftragsvolumen 48.000 EUR netto. Eine EU-Auftragsbekanntmachung oder Ex-post-Bekanntmachung wurde bislang nicht gefunden. Auftragnehmer und genaue Leistungsabgrenzung sind noch durch Vertrag und Bestellakte zu belegen.</w:t>
      </w:r>
    </w:p>
    <w:p>
      <w:r>
        <w:t>Der Vertrag wurde in der mündlichen Verhandlung am 04.06.2026 erwähnt. Diese bloße Erwähnung ist nicht automatisch die qualifizierte Information nach § 135 Abs. 2 Satz 1 GWB, denn es fehlt eine Zusammenfassung der einschlägigen Gründe entsprechend § 134 Abs. 1 Satz 1 GWB. Mangels nachgewiesener qualifizierter Information oder inhaltlich ausreichender EU-Auftragsvergabebekanntmachung ist vorsorglich die absolute Sechsmonatsgrenze ab Vertragsschluss zu steuern.</w:t>
      </w:r>
    </w:p>
    <w:p>
      <w:pPr>
        <w:pStyle w:val="Heading1"/>
      </w:pPr>
      <w:r>
        <w:t>2. Offene Tatsachen</w:t>
      </w:r>
    </w:p>
    <w:tbl>
      <w:tblPr>
        <w:tblStyle w:val="TableGrid"/>
        <w:tblW w:type="dxa" w:w="9071"/>
        <w:jc w:val="left"/>
        <w:tblLayout w:type="fixed"/>
        <w:tblLook w:firstColumn="1" w:firstRow="1" w:lastColumn="0" w:lastRow="0" w:noHBand="0" w:noVBand="1" w:val="04A0"/>
      </w:tblPr>
      <w:tblGrid>
        <w:gridCol w:w="3419"/>
        <w:gridCol w:w="3302"/>
        <w:gridCol w:w="2350"/>
      </w:tblGrid>
      <w:tr>
        <w:trPr>
          <w:tblHeader w:val="true"/>
          <w:cantSplit/>
        </w:trPr>
        <w:tc>
          <w:tcPr>
            <w:tcW w:type="dxa" w:w="3419"/>
            <w:vAlign w:val="top"/>
            <w:tcMar>
              <w:top w:w="60" w:type="dxa"/>
              <w:start w:w="90" w:type="dxa"/>
              <w:bottom w:w="60" w:type="dxa"/>
              <w:end w:w="90" w:type="dxa"/>
            </w:tcMar>
            <w:shd w:fill="01696F"/>
          </w:tcPr>
          <w:p>
            <w:pPr>
              <w:keepLines/>
              <w:spacing w:after="0"/>
            </w:pPr>
            <w:r/>
            <w:r>
              <w:rPr>
                <w:rFonts w:ascii="Times New Roman" w:hAnsi="Times New Roman"/>
                <w:b/>
                <w:color w:val="FFFFFF"/>
                <w:sz w:val="17"/>
              </w:rPr>
              <w:t>Frage</w:t>
            </w:r>
          </w:p>
        </w:tc>
        <w:tc>
          <w:tcPr>
            <w:tcW w:type="dxa" w:w="3302"/>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Benötigter Beleg</w:t>
            </w:r>
          </w:p>
        </w:tc>
        <w:tc>
          <w:tcPr>
            <w:tcW w:type="dxa" w:w="2350"/>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Bedeutung</w:t>
            </w:r>
          </w:p>
        </w:tc>
      </w:tr>
      <w:tr>
        <w:trPr>
          <w:cantSplit/>
        </w:trPr>
        <w:tc>
          <w:tcPr>
            <w:tcW w:type="dxa" w:w="3419"/>
            <w:vAlign w:val="top"/>
            <w:tcMar>
              <w:top w:w="60" w:type="dxa"/>
              <w:start w:w="90" w:type="dxa"/>
              <w:bottom w:w="60" w:type="dxa"/>
              <w:end w:w="90" w:type="dxa"/>
            </w:tcMar>
          </w:tcPr>
          <w:p>
            <w:pPr>
              <w:keepLines/>
              <w:spacing w:after="0"/>
            </w:pPr>
            <w:r/>
            <w:r>
              <w:rPr>
                <w:rFonts w:ascii="Times New Roman" w:hAnsi="Times New Roman"/>
                <w:sz w:val="17"/>
              </w:rPr>
              <w:t>Wer ist Vertragspartner?</w:t>
            </w:r>
          </w:p>
        </w:tc>
        <w:tc>
          <w:tcPr>
            <w:tcW w:type="dxa" w:w="3302"/>
            <w:vAlign w:val="top"/>
            <w:tcMar>
              <w:top w:w="60" w:type="dxa"/>
              <w:start w:w="90" w:type="dxa"/>
              <w:bottom w:w="60" w:type="dxa"/>
              <w:end w:w="90" w:type="dxa"/>
            </w:tcMar>
          </w:tcPr>
          <w:p>
            <w:pPr>
              <w:keepLines/>
              <w:spacing w:after="0"/>
            </w:pPr>
            <w:r/>
            <w:r>
              <w:rPr>
                <w:rFonts w:ascii="Times New Roman" w:hAnsi="Times New Roman"/>
                <w:sz w:val="17"/>
              </w:rPr>
              <w:t>Vertrag, Zuschlagsschreiben, Rechnung</w:t>
            </w:r>
          </w:p>
        </w:tc>
        <w:tc>
          <w:tcPr>
            <w:tcW w:type="dxa" w:w="2350"/>
            <w:vAlign w:val="top"/>
            <w:tcMar>
              <w:top w:w="60" w:type="dxa"/>
              <w:start w:w="90" w:type="dxa"/>
              <w:bottom w:w="60" w:type="dxa"/>
              <w:end w:w="90" w:type="dxa"/>
            </w:tcMar>
          </w:tcPr>
          <w:p>
            <w:pPr>
              <w:keepLines/>
              <w:spacing w:after="0"/>
            </w:pPr>
            <w:r/>
            <w:r>
              <w:rPr>
                <w:rFonts w:ascii="Times New Roman" w:hAnsi="Times New Roman"/>
                <w:sz w:val="17"/>
              </w:rPr>
              <w:t>Beteiligte und Beiladung</w:t>
            </w:r>
          </w:p>
        </w:tc>
      </w:tr>
      <w:tr>
        <w:trPr>
          <w:cantSplit/>
        </w:trPr>
        <w:tc>
          <w:tcPr>
            <w:tcW w:type="dxa" w:w="3419"/>
            <w:vAlign w:val="top"/>
            <w:tcMar>
              <w:top w:w="60" w:type="dxa"/>
              <w:start w:w="90" w:type="dxa"/>
              <w:bottom w:w="60" w:type="dxa"/>
              <w:end w:w="90" w:type="dxa"/>
            </w:tcMar>
            <w:shd w:fill="F1F3F3"/>
          </w:tcPr>
          <w:p>
            <w:pPr>
              <w:keepLines/>
              <w:spacing w:after="0"/>
            </w:pPr>
            <w:r/>
            <w:r>
              <w:rPr>
                <w:rFonts w:ascii="Times New Roman" w:hAnsi="Times New Roman"/>
                <w:sz w:val="17"/>
              </w:rPr>
              <w:t>Welche Leistungen umfasst der Pilot?</w:t>
            </w:r>
          </w:p>
        </w:tc>
        <w:tc>
          <w:tcPr>
            <w:tcW w:type="dxa" w:w="3302"/>
            <w:vAlign w:val="top"/>
            <w:tcMar>
              <w:top w:w="60" w:type="dxa"/>
              <w:start w:w="90" w:type="dxa"/>
              <w:bottom w:w="60" w:type="dxa"/>
              <w:end w:w="90" w:type="dxa"/>
            </w:tcMar>
            <w:shd w:fill="F1F3F3"/>
          </w:tcPr>
          <w:p>
            <w:pPr>
              <w:keepLines/>
              <w:spacing w:after="0"/>
            </w:pPr>
            <w:r/>
            <w:r>
              <w:rPr>
                <w:rFonts w:ascii="Times New Roman" w:hAnsi="Times New Roman"/>
                <w:sz w:val="17"/>
              </w:rPr>
              <w:t>Leistungsbeschreibung, Tickets, SLA</w:t>
            </w:r>
          </w:p>
        </w:tc>
        <w:tc>
          <w:tcPr>
            <w:tcW w:type="dxa" w:w="2350"/>
            <w:vAlign w:val="top"/>
            <w:tcMar>
              <w:top w:w="60" w:type="dxa"/>
              <w:start w:w="90" w:type="dxa"/>
              <w:bottom w:w="60" w:type="dxa"/>
              <w:end w:w="90" w:type="dxa"/>
            </w:tcMar>
            <w:shd w:fill="F1F3F3"/>
          </w:tcPr>
          <w:p>
            <w:pPr>
              <w:keepLines/>
              <w:spacing w:after="0"/>
            </w:pPr>
            <w:r/>
            <w:r>
              <w:rPr>
                <w:rFonts w:ascii="Times New Roman" w:hAnsi="Times New Roman"/>
                <w:sz w:val="17"/>
              </w:rPr>
              <w:t>funktionaler Zusammenhang</w:t>
            </w:r>
          </w:p>
        </w:tc>
      </w:tr>
      <w:tr>
        <w:trPr>
          <w:cantSplit/>
        </w:trPr>
        <w:tc>
          <w:tcPr>
            <w:tcW w:type="dxa" w:w="3419"/>
            <w:vAlign w:val="top"/>
            <w:tcMar>
              <w:top w:w="60" w:type="dxa"/>
              <w:start w:w="90" w:type="dxa"/>
              <w:bottom w:w="60" w:type="dxa"/>
              <w:end w:w="90" w:type="dxa"/>
            </w:tcMar>
          </w:tcPr>
          <w:p>
            <w:pPr>
              <w:keepLines/>
              <w:spacing w:after="0"/>
            </w:pPr>
            <w:r/>
            <w:r>
              <w:rPr>
                <w:rFonts w:ascii="Times New Roman" w:hAnsi="Times New Roman"/>
                <w:sz w:val="17"/>
              </w:rPr>
              <w:t>Wie wurde der Wert geschätzt?</w:t>
            </w:r>
          </w:p>
        </w:tc>
        <w:tc>
          <w:tcPr>
            <w:tcW w:type="dxa" w:w="3302"/>
            <w:vAlign w:val="top"/>
            <w:tcMar>
              <w:top w:w="60" w:type="dxa"/>
              <w:start w:w="90" w:type="dxa"/>
              <w:bottom w:w="60" w:type="dxa"/>
              <w:end w:w="90" w:type="dxa"/>
            </w:tcMar>
          </w:tcPr>
          <w:p>
            <w:pPr>
              <w:keepLines/>
              <w:spacing w:after="0"/>
            </w:pPr>
            <w:r/>
            <w:r>
              <w:rPr>
                <w:rFonts w:ascii="Times New Roman" w:hAnsi="Times New Roman"/>
                <w:sz w:val="17"/>
              </w:rPr>
              <w:t>Schätzvermerk, Optionen, Anschlussaufträge</w:t>
            </w:r>
          </w:p>
        </w:tc>
        <w:tc>
          <w:tcPr>
            <w:tcW w:type="dxa" w:w="2350"/>
            <w:vAlign w:val="top"/>
            <w:tcMar>
              <w:top w:w="60" w:type="dxa"/>
              <w:start w:w="90" w:type="dxa"/>
              <w:bottom w:w="60" w:type="dxa"/>
              <w:end w:w="90" w:type="dxa"/>
            </w:tcMar>
          </w:tcPr>
          <w:p>
            <w:pPr>
              <w:keepLines/>
              <w:spacing w:after="0"/>
            </w:pPr>
            <w:r/>
            <w:r>
              <w:rPr>
                <w:rFonts w:ascii="Times New Roman" w:hAnsi="Times New Roman"/>
                <w:sz w:val="17"/>
              </w:rPr>
              <w:t>§ 3 VgV und Schwellenwert</w:t>
            </w:r>
          </w:p>
        </w:tc>
      </w:tr>
      <w:tr>
        <w:trPr>
          <w:cantSplit/>
        </w:trPr>
        <w:tc>
          <w:tcPr>
            <w:tcW w:type="dxa" w:w="3419"/>
            <w:vAlign w:val="top"/>
            <w:tcMar>
              <w:top w:w="60" w:type="dxa"/>
              <w:start w:w="90" w:type="dxa"/>
              <w:bottom w:w="60" w:type="dxa"/>
              <w:end w:w="90" w:type="dxa"/>
            </w:tcMar>
            <w:shd w:fill="F1F3F3"/>
          </w:tcPr>
          <w:p>
            <w:pPr>
              <w:keepLines/>
              <w:spacing w:after="0"/>
            </w:pPr>
            <w:r/>
            <w:r>
              <w:rPr>
                <w:rFonts w:ascii="Times New Roman" w:hAnsi="Times New Roman"/>
                <w:sz w:val="17"/>
              </w:rPr>
              <w:t>Woraus folgte äußerste Dringlichkeit?</w:t>
            </w:r>
          </w:p>
        </w:tc>
        <w:tc>
          <w:tcPr>
            <w:tcW w:type="dxa" w:w="3302"/>
            <w:vAlign w:val="top"/>
            <w:tcMar>
              <w:top w:w="60" w:type="dxa"/>
              <w:start w:w="90" w:type="dxa"/>
              <w:bottom w:w="60" w:type="dxa"/>
              <w:end w:w="90" w:type="dxa"/>
            </w:tcMar>
            <w:shd w:fill="F1F3F3"/>
          </w:tcPr>
          <w:p>
            <w:pPr>
              <w:keepLines/>
              <w:spacing w:after="0"/>
            </w:pPr>
            <w:r/>
            <w:r>
              <w:rPr>
                <w:rFonts w:ascii="Times New Roman" w:hAnsi="Times New Roman"/>
                <w:sz w:val="17"/>
              </w:rPr>
              <w:t>Auditbericht, Risikovermerk, Chronologie</w:t>
            </w:r>
          </w:p>
        </w:tc>
        <w:tc>
          <w:tcPr>
            <w:tcW w:type="dxa" w:w="2350"/>
            <w:vAlign w:val="top"/>
            <w:tcMar>
              <w:top w:w="60" w:type="dxa"/>
              <w:start w:w="90" w:type="dxa"/>
              <w:bottom w:w="60" w:type="dxa"/>
              <w:end w:w="90" w:type="dxa"/>
            </w:tcMar>
            <w:shd w:fill="F1F3F3"/>
          </w:tcPr>
          <w:p>
            <w:pPr>
              <w:keepLines/>
              <w:spacing w:after="0"/>
            </w:pPr>
            <w:r/>
            <w:r>
              <w:rPr>
                <w:rFonts w:ascii="Times New Roman" w:hAnsi="Times New Roman"/>
                <w:sz w:val="17"/>
              </w:rPr>
              <w:t>§ 14 Abs. 4 Nr. 3 VgV</w:t>
            </w:r>
          </w:p>
        </w:tc>
      </w:tr>
      <w:tr>
        <w:trPr>
          <w:cantSplit/>
        </w:trPr>
        <w:tc>
          <w:tcPr>
            <w:tcW w:type="dxa" w:w="3419"/>
            <w:vAlign w:val="top"/>
            <w:tcMar>
              <w:top w:w="60" w:type="dxa"/>
              <w:start w:w="90" w:type="dxa"/>
              <w:bottom w:w="60" w:type="dxa"/>
              <w:end w:w="90" w:type="dxa"/>
            </w:tcMar>
          </w:tcPr>
          <w:p>
            <w:pPr>
              <w:keepLines/>
              <w:spacing w:after="0"/>
            </w:pPr>
            <w:r/>
            <w:r>
              <w:rPr>
                <w:rFonts w:ascii="Times New Roman" w:hAnsi="Times New Roman"/>
                <w:sz w:val="17"/>
              </w:rPr>
              <w:t>Wurde freiwillige Ex-ante-Transparenz hergestellt?</w:t>
            </w:r>
          </w:p>
        </w:tc>
        <w:tc>
          <w:tcPr>
            <w:tcW w:type="dxa" w:w="3302"/>
            <w:vAlign w:val="top"/>
            <w:tcMar>
              <w:top w:w="60" w:type="dxa"/>
              <w:start w:w="90" w:type="dxa"/>
              <w:bottom w:w="60" w:type="dxa"/>
              <w:end w:w="90" w:type="dxa"/>
            </w:tcMar>
          </w:tcPr>
          <w:p>
            <w:pPr>
              <w:keepLines/>
              <w:spacing w:after="0"/>
            </w:pPr>
            <w:r/>
            <w:r>
              <w:rPr>
                <w:rFonts w:ascii="Times New Roman" w:hAnsi="Times New Roman"/>
                <w:sz w:val="17"/>
              </w:rPr>
              <w:t>TED/eForms und Wartefrist</w:t>
            </w:r>
          </w:p>
        </w:tc>
        <w:tc>
          <w:tcPr>
            <w:tcW w:type="dxa" w:w="2350"/>
            <w:vAlign w:val="top"/>
            <w:tcMar>
              <w:top w:w="60" w:type="dxa"/>
              <w:start w:w="90" w:type="dxa"/>
              <w:bottom w:w="60" w:type="dxa"/>
              <w:end w:w="90" w:type="dxa"/>
            </w:tcMar>
          </w:tcPr>
          <w:p>
            <w:pPr>
              <w:keepLines/>
              <w:spacing w:after="0"/>
            </w:pPr>
            <w:r/>
            <w:r>
              <w:rPr>
                <w:rFonts w:ascii="Times New Roman" w:hAnsi="Times New Roman"/>
                <w:sz w:val="17"/>
              </w:rPr>
              <w:t>§ 135 Abs. 3 GWB</w:t>
            </w:r>
          </w:p>
        </w:tc>
      </w:tr>
    </w:tbl>
    <w:p>
      <w:pPr>
        <w:spacing w:after="0" w:before="40"/>
      </w:pPr>
    </w:p>
    <w:p>
      <w:pPr>
        <w:pStyle w:val="Heading1"/>
      </w:pPr>
      <w:r>
        <w:t>3. Rechtliche Prüfpfade</w:t>
      </w:r>
    </w:p>
    <w:p>
      <w:r>
        <w:t>Eine Unwirksamkeit nach § 135 Abs. 1 Nr. 2 GWB setzt voraus, dass ein oberhalb des EU-Schwellenwerts liegender Auftrag ohne erforderliche EU-Bekanntmachung vergeben wurde und keine Ausnahme greift. Der isolierte Wert von 48.000 EUR liegt darunter. Deshalb muss zuerst belastbar geprüft werden, ob Pilot und Hauptauftrag nach § 3 VgV funktional zusammenzurechnen waren oder der Pilot einen selbständigen Beschaffungsbedarf deckte. Ein bloßer zeitlicher Zusammenhang oder ein Wettbewerbsvorteil des späteren Bieters reicht für eine Zusammenrechnung nicht automatisch aus.</w:t>
      </w:r>
    </w:p>
    <w:p>
      <w:r>
        <w:t>Bei Berufung auf § 14 Abs. 4 Nr. 3 VgV sind unvorhergesehenes Ereignis, äußerste Dringlichkeit, Kausalität, fehlende Zurechenbarkeit und Beschränkung auf das unbedingt Erforderliche getrennt zu belegen.</w:t>
      </w:r>
    </w:p>
    <w:p>
      <w:pPr>
        <w:pStyle w:val="Heading1"/>
      </w:pPr>
      <w:r>
        <w:t>4. Zuständigkeit und Rechtsfolge</w:t>
      </w:r>
    </w:p>
    <w:p>
      <w:r>
        <w:t>Die Unwirksamkeit wird nicht durch eine unmittelbar beim Oberlandesgericht erhobene Klage festgestellt. Sie ist mit einem Nachprüfungsantrag bei der zuständigen Vergabekammer geltend zu machen. Bei einem kommunalen Auftraggeber in Schwerin sind grundsätzlich die Vergabekammern des Landes Mecklenburg-Vorpommern zuständig (§§ 156, 159 GWB). Gegen deren Entscheidung ist die sofortige Beschwerde zum Oberlandesgericht eröffnet.</w:t>
      </w:r>
    </w:p>
    <w:p>
      <w:pPr>
        <w:keepNext/>
        <w:keepLines/>
      </w:pPr>
      <w:r>
        <w:t>Nach § 135 Abs. 2 GWB sind drei Auslöser getrennt zu prüfen: qualifizierte Information betroffener Bieter oder Bewerber einschließlich einer Zusammenfassung der Gründe, inhaltlich ausreichende Bekanntmachung der Auftragsvergabe im Amtsblatt der EU und die absolute Sechsmonatsgrenze ab Vertragsschluss. Bloße tatsächliche Kenntnis ersetzt die gesetzlich beschriebene Information nicht.</w:t>
      </w:r>
    </w:p>
    <w:p>
      <w:pPr>
        <w:pStyle w:val="Heading1"/>
        <w:keepNext/>
        <w:keepLines/>
      </w:pPr>
      <w:r>
        <w:t>5. Sofortmaßnahmen</w:t>
      </w:r>
    </w:p>
    <w:p>
      <w:pPr>
        <w:pStyle w:val="ListNumber"/>
        <w:keepNext/>
        <w:keepLines/>
      </w:pPr>
      <w:r>
        <w:t>Vertrag, Leistungsbeschreibung, Wertschätzung und Dringlichkeitsvermerk anfordern.</w:t>
      </w:r>
    </w:p>
    <w:p>
      <w:pPr>
        <w:pStyle w:val="ListNumber"/>
        <w:keepNext/>
        <w:keepLines/>
      </w:pPr>
      <w:r>
        <w:t>Mangels qualifizierter Information den Antrag vor Ablauf von sechs Monaten seit 30.12.2025, also spätestens am 30.06.2026, einreichen; ein früheres abweichendes Fristende nur nach vollständiger Prüfung einer Information oder Bekanntmachung ansetzen.</w:t>
      </w:r>
    </w:p>
    <w:p>
      <w:pPr>
        <w:pStyle w:val="ListNumber"/>
        <w:keepNext/>
        <w:keepLines/>
      </w:pPr>
      <w:r>
        <w:t>Antragsbefugnis, Interesse am Pilotauftrag und drohenden Schaden konkret darlegen.</w:t>
      </w:r>
    </w:p>
    <w:p>
      <w:pPr>
        <w:pStyle w:val="ListNumber"/>
        <w:keepNext/>
        <w:keepLines/>
      </w:pPr>
      <w:r>
        <w:t>Hauptantrag auf Feststellung der Unwirksamkeit formulieren; Beendigung oder weitere Maßnahmen nur im Rahmen der Befugnisse der Vergabekammer beantragen.</w:t>
      </w:r>
    </w:p>
    <w:p>
      <w:pPr>
        <w:pStyle w:val="ListNumber"/>
        <w:keepLines/>
      </w:pPr>
      <w:r>
        <w:t>Den möglichen Informationsvorsprung im Hauptverfahren als eigenständigen Gleichbehandlungs- und Neutralisierungspunkt behandeln.</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Bährens Vergaberecht Rechtsanwaltsgesellschaft 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Sachverhalts- und Fristenvermerk zum SOC-Pilotvertrag</dc:title>
  <dc:subject>Vergabeakte | Az. ohne Aktenzeichen</dc:subject>
  <dc:creator>Bährens Vergaberecht Rechtsanwaltsgesellschaft mbH</dc:creator>
  <cp:keywords>Vergaberecht</cp:keywords>
  <dc:description>generated by python-docx</dc:description>
  <cp:lastModifiedBy>Bährens Vergaberecht Rechtsanwaltsgesellschaft mbH</cp:lastModifiedBy>
  <cp:revision>1</cp:revision>
  <dcterms:created xsi:type="dcterms:W3CDTF">2000-01-01T00:00:00Z</dcterms:created>
  <dcterms:modified xsi:type="dcterms:W3CDTF">2000-01-01T00:00:00Z</dcterms:modified>
  <cp:category>Vergabeakte</cp:category>
</cp:coreProperties>
</file>