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Bährens Vergaberecht Rechtsanwaltsgesellschaft mbH</w:t>
            </w:r>
          </w:p>
          <w:p>
            <w:pPr>
              <w:spacing w:after="0"/>
            </w:pPr>
            <w:r>
              <w:rPr>
                <w:color w:val="646464"/>
                <w:sz w:val="18"/>
              </w:rPr>
              <w:t>Unter den Linden 48, 10117 Berlin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27.06.2026</w:t>
            </w:r>
          </w:p>
        </w:tc>
      </w:tr>
    </w:tbl>
    <w:p>
      <w:pPr>
        <w:pStyle w:val="Title"/>
      </w:pPr>
      <w:r>
        <w:t>Nachprüfungsantrag zur behaupteten De-facto-Vergabe</w:t>
      </w:r>
    </w:p>
    <w:p>
      <w:r>
        <w:t>Aktenzeichen: noch nicht vergeben Datum: 27.06.2026 Gegenstand: SOC-Pilotbetrieb der Nahverkehr Schwerin GmbH</w:t>
      </w:r>
    </w:p>
    <w:p>
      <w:r>
        <w:t>An die Vergabekammern des Landes Mecklenburg-Vorpommern bei dem Ministerium für Wirtschaft, Infrastruktur, Tourismus und Arbeit Johannes-Stelling-Straße 14 19053 Schwerin</w:t>
      </w:r>
    </w:p>
    <w:p>
      <w:pPr>
        <w:pStyle w:val="Heading1"/>
      </w:pPr>
      <w:r>
        <w:t>Nachprüfungsantrag nach §§ 160 ff. und § 135 GWB</w:t>
      </w:r>
    </w:p>
    <w:p>
      <w:r>
        <w:t>Antragstellerin: CyberShield Defense GmbH, Berlin Antragsgegnerin: Nahverkehr Schwerin GmbH, Schwerin Beizuladendes Unternehmen: ProtectIT SE, soweit sich deren Auftragnehmereigenschaft bestätigt</w:t>
      </w:r>
    </w:p>
    <w:p>
      <w:pPr>
        <w:pStyle w:val="Heading1"/>
      </w:pPr>
      <w:r>
        <w:t>1. Anträge</w:t>
      </w:r>
    </w:p>
    <w:p>
      <w:r>
        <w:t>Die Antragstellerin beantragt,</w:t>
      </w:r>
    </w:p>
    <w:p>
      <w:pPr>
        <w:pStyle w:val="ListNumber"/>
      </w:pPr>
      <w:r>
        <w:t>festzustellen, dass der im Dezember 2025 geschlossene Vertrag über SOC-Pilotbetrieb nach § 135 Abs. 1 Nr. 2 GWB von Anfang an unwirksam ist,</w:t>
      </w:r>
    </w:p>
    <w:p>
      <w:pPr>
        <w:pStyle w:val="ListNumber"/>
      </w:pPr>
      <w:r>
        <w:t>der Antragsgegnerin geeignete Maßnahmen zur Beseitigung der festgestellten Rechtsverletzung aufzugeben,</w:t>
      </w:r>
    </w:p>
    <w:p>
      <w:pPr>
        <w:pStyle w:val="ListNumber"/>
      </w:pPr>
      <w:r>
        <w:t>der Antragstellerin Einsicht in Vertrag, Auftragswertschätzung, Dringlichkeitsvermerk und Vergabedokumentation zu gewähren und</w:t>
      </w:r>
    </w:p>
    <w:p>
      <w:pPr>
        <w:pStyle w:val="ListNumber"/>
      </w:pPr>
      <w:r>
        <w:t>der Antragsgegnerin die Kosten und notwendigen Aufwendungen aufzuerlegen.</w:t>
      </w:r>
    </w:p>
    <w:p>
      <w:pPr>
        <w:pStyle w:val="Heading1"/>
      </w:pPr>
      <w:r>
        <w:t>2. Zuständigkeit und Frist</w:t>
      </w:r>
    </w:p>
    <w:p>
      <w:r>
        <w:t>Die Antragsgegnerin ist ein kommunal beherrschtes Unternehmen mit Sitz in Mecklenburg-Vorpommern. Vorbehaltlich der abschließenden Auftraggebereigenschafts- und Zurechnungsprüfung ist die Landesvergabekammer nach § 159 Abs. 2 und 3 GWB zuständig.</w:t>
      </w:r>
    </w:p>
    <w:p>
      <w:r>
        <w:t>Die Antragstellerin erlangte am 04.06.2026 in der mündlichen Verhandlung erstmals tatsächliche Kenntnis vom Vertragsschluss. Eine Information einschließlich einer Zusammenfassung der einschlägigen Gründe entsprechend § 134 Abs. 1 Satz 1 GWB oder eine inhaltlich ausreichende EU-Auftragsvergabebekanntmachung ist nicht ersichtlich. Die bloße Kenntnis setzt die 30-Kalendertage-Frist des § 135 Abs. 2 Satz 1 GWB deshalb nicht ohne Weiteres in Lauf. Der Antrag vom 27.06.2026 wahrt jedenfalls die absolute Sechsmonatsgrenze seit dem Vertragsschluss am 30.12.2025.</w:t>
      </w:r>
    </w:p>
    <w:p>
      <w:pPr>
        <w:pStyle w:val="Heading1"/>
      </w:pPr>
      <w:r>
        <w:t>3. Antragsbefugnis</w:t>
      </w:r>
    </w:p>
    <w:p>
      <w:r>
        <w:t>CyberShield bietet SOC-Dienstleistungen an und hätte sich bei einer transparenten Beschaffung um den Pilotauftrag beworben. Sie macht geltend, dass ihr durch die Direktvergabe die Zuschlagschance genommen wurde. Angebotspalette, Kapazität im Dezember 2025 und Interesse am kurzlaufenden Pilotbetrieb werden durch Anlagen A-3 bis A-5 belegt.</w:t>
      </w:r>
    </w:p>
    <w:p>
      <w:pPr>
        <w:pStyle w:val="Heading1"/>
      </w:pPr>
      <w:r>
        <w:t>4. Begründung</w:t>
      </w:r>
    </w:p>
    <w:p>
      <w:pPr>
        <w:keepNext/>
        <w:keepLines/>
      </w:pPr>
      <w:r>
        <w:t>Der Pilot und der Hauptauftrag betreffen denselben Betrieb, dieselbe SOC-Infrastruktur und zeitlich ineinandergreifende Leistungen. Die Antragstellerin hält deshalb eine Gesamtbetrachtung nach § 3 VgV für geboten. Ob eine unzulässige Aufteilung vorliegt, kann erst anhand von Bedarfsentstehung, Planung, Leistungsabgrenzung, Optionen und Wertschätzung entschieden werden. Der isolierte Pilotwert von 48.000 EUR reicht für einen Oberschwellenangriff nicht aus.</w:t>
      </w:r>
    </w:p>
    <w:p>
      <w:pPr>
        <w:keepNext/>
        <w:keepLines/>
      </w:pPr>
      <w:r>
        <w:t>Die Antragsgegnerin beruft sich hilfsweise auf äußerste Dringlichkeit nach § 14 Abs. 4 Nr. 3 VgV. Ein Audit aus November 2024 erklärt einen Vertragsschluss im Dezember 2025 nicht ohne Weiteres. Erforderlich sind Belege zu Unvorhersehbarkeit, fehlender Zurechenbarkeit, Kausalität und Beschränkung auf das unbedingt erforderliche Übergangsvolumen.</w:t>
      </w:r>
    </w:p>
    <w:p>
      <w:pPr>
        <w:pStyle w:val="Heading1"/>
        <w:keepNext/>
        <w:keepLines/>
      </w:pPr>
      <w:r>
        <w:t>5. Beweismittel</w:t>
      </w:r>
    </w:p>
    <w:p>
      <w:pPr>
        <w:pStyle w:val="ListNumber"/>
        <w:keepNext/>
        <w:keepLines/>
      </w:pPr>
      <w:r>
        <w:t>Protokoll der Verhandlung vom 04.06.2026</w:t>
      </w:r>
    </w:p>
    <w:p>
      <w:pPr>
        <w:pStyle w:val="ListNumber"/>
        <w:keepNext/>
        <w:keepLines/>
      </w:pPr>
      <w:r>
        <w:t>Auskunft der Antragsgegnerin zum Pilotvertrag</w:t>
      </w:r>
    </w:p>
    <w:p>
      <w:pPr>
        <w:pStyle w:val="ListNumber"/>
        <w:keepNext/>
        <w:keepLines/>
      </w:pPr>
      <w:r>
        <w:t>Leistungsportfolio und Kapazitätsnachweis CyberShield</w:t>
      </w:r>
    </w:p>
    <w:p>
      <w:pPr>
        <w:pStyle w:val="ListNumber"/>
        <w:keepNext/>
        <w:keepLines/>
      </w:pPr>
      <w:r>
        <w:t>TED-Recherche mit Suchprotokoll</w:t>
      </w:r>
    </w:p>
    <w:p>
      <w:pPr>
        <w:pStyle w:val="ListNumber"/>
        <w:keepNext/>
        <w:keepLines/>
      </w:pPr>
      <w:r>
        <w:t>Hauptausschreibung und Leistungsabgleich</w:t>
      </w:r>
    </w:p>
    <w:p>
      <w:pPr>
        <w:pStyle w:val="ListNumber"/>
        <w:keepNext/>
        <w:keepLines/>
      </w:pPr>
      <w:r>
        <w:t>Antrag auf Vorlage der vollständigen Pilot-Vergabeakte</w:t>
      </w:r>
    </w:p>
    <w:p>
      <w:pPr>
        <w:keepLines/>
      </w:pPr>
      <w:r>
        <w:t>Dr. Constantin Bährens Rechtsanwalt</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Bährens Vergaberecht Rechtsanwaltsgesellschaft 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Nachprüfungsantrag zur behaupteten De-facto-Vergabe</dc:title>
  <dc:subject>Vergabeakte | Az. ohne Aktenzeichen</dc:subject>
  <dc:creator>Bährens Vergaberecht Rechtsanwaltsgesellschaft mbH</dc:creator>
  <cp:keywords>Vergaberecht</cp:keywords>
  <dc:description>generated by python-docx</dc:description>
  <cp:lastModifiedBy>Bährens Vergaberecht Rechtsanwaltsgesellschaft mbH</cp:lastModifiedBy>
  <cp:revision>1</cp:revision>
  <dcterms:created xsi:type="dcterms:W3CDTF">2000-01-01T00:00:00Z</dcterms:created>
  <dcterms:modified xsi:type="dcterms:W3CDTF">2000-01-01T00:00:00Z</dcterms:modified>
  <cp:category>Vergabeakte</cp:category>
</cp:coreProperties>
</file>