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Bährens Vergaberecht Rechtsanwaltsgesellschaft 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Graf-Adolf-Platz 15, 40213 Düsseldorf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10.07.2026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3 VK 4/26 / 17 Verg 2/26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Kosten- und Prozessrisikomemo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Bährens Vergaberecht Rechtsanwaltsgesellschaft mbH · Graf-Adolf-Platz 15, 40213 Düsseldorf</w:t>
      </w:r>
    </w:p>
    <w:p>
      <w:pPr>
        <w:spacing w:after="240"/>
      </w:pPr>
      <w:r>
        <w:t>CyberShield Defense GmbH - Geschäftsführung</w:t>
      </w:r>
    </w:p>
    <w:p>
      <w:pPr>
        <w:pStyle w:val="Title"/>
      </w:pPr>
      <w:r>
        <w:t>Kosten- und Prozessrisiko im Nachprüfungs- und Beschwerdeverfahren</w:t>
      </w:r>
    </w:p>
    <w:p>
      <w:r>
        <w:t>Aktenzeichen: 3 VK 4/26 / 17 Verg 2/26 Vergabeverfahren: LH-SN-Cyber-SOC-NSV-2026 Stand: 10.07.2026</w:t>
      </w:r>
    </w:p>
    <w:p>
      <w:pPr>
        <w:pStyle w:val="Heading1"/>
      </w:pPr>
      <w:r>
        <w:t>1. Zweck und Datenstatus</w:t>
      </w:r>
    </w:p>
    <w:p>
      <w:r>
        <w:t>Dieses Memo steuert Kostenvorschüsse, Vergleichsspielraum und Kostenerstattungsanträge. Es ersetzt keine Kostenfestsetzung. Auftragswert, Bruttoauftragssumme, Verfahrensgegenstand, Gebührentabelle nach aktuellem GKG und Vergütungsvereinbarungen sind vor jeder Bezifferung zu aktualisieren.</w:t>
      </w:r>
    </w:p>
    <w:p>
      <w:pPr>
        <w:pStyle w:val="Heading1"/>
      </w:pPr>
      <w:r>
        <w:t>2. Vergabekammer</w:t>
      </w:r>
    </w:p>
    <w:p>
      <w:r>
        <w:t>Die Gebühr der Vergabekammer richtet sich nach § 182 Abs. 2 GWB. Der gesetzliche Rahmen beginnt grundsätzlich bei 2.500 EUR und endet regelmäßig bei 50.000 EUR; eine Überschreitung bis 100.000 EUR kommt im Einzelfall in Betracht. Maßgeblich sind Verwaltungsaufwand und wirtschaftliche Bedeutung. Eine gesetzliche Anlage mit einer linearen Auftragswertformel gibt es nicht.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560"/>
        <w:gridCol w:w="1774"/>
        <w:gridCol w:w="2760"/>
        <w:gridCol w:w="1977"/>
      </w:tblGrid>
      <w:tr>
        <w:trPr>
          <w:tblHeader w:val="true"/>
          <w:cantSplit/>
        </w:trPr>
        <w:tc>
          <w:tcPr>
            <w:tcW w:type="dxa" w:w="25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Kostenblock</w:t>
            </w:r>
          </w:p>
        </w:tc>
        <w:tc>
          <w:tcPr>
            <w:tcW w:type="dxa" w:w="177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Grundlage</w:t>
            </w:r>
          </w:p>
        </w:tc>
        <w:tc>
          <w:tcPr>
            <w:tcW w:type="dxa" w:w="27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Aktenbeleg</w:t>
            </w:r>
          </w:p>
        </w:tc>
        <w:tc>
          <w:tcPr>
            <w:tcW w:type="dxa" w:w="197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Kammergebühr</w:t>
            </w:r>
          </w:p>
        </w:tc>
        <w:tc>
          <w:tcPr>
            <w:tcW w:type="dxa" w:w="177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§ 182 Abs. 2 GWB</w:t>
            </w:r>
          </w:p>
        </w:tc>
        <w:tc>
          <w:tcPr>
            <w:tcW w:type="dxa" w:w="27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gesonderter Gebührenbescheid</w:t>
            </w:r>
          </w:p>
        </w:tc>
        <w:tc>
          <w:tcPr>
            <w:tcW w:type="dxa" w:w="197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offen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Ermäßigung bei Erledigung oder Rücknahme</w:t>
            </w:r>
          </w:p>
        </w:tc>
        <w:tc>
          <w:tcPr>
            <w:tcW w:type="dxa" w:w="177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§ 182 Abs. 3 GWB</w:t>
            </w:r>
          </w:p>
        </w:tc>
        <w:tc>
          <w:tcPr>
            <w:tcW w:type="dxa" w:w="27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Erledigungszeitpunkt</w:t>
            </w:r>
          </w:p>
        </w:tc>
        <w:tc>
          <w:tcPr>
            <w:tcW w:type="dxa" w:w="197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nur bei Eintritt prüfen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Notwendige Aufwendungen</w:t>
            </w:r>
          </w:p>
        </w:tc>
        <w:tc>
          <w:tcPr>
            <w:tcW w:type="dxa" w:w="177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§ 182 Abs. 4 GWB</w:t>
            </w:r>
          </w:p>
        </w:tc>
        <w:tc>
          <w:tcPr>
            <w:tcW w:type="dxa" w:w="27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Rechnungen, Tätigkeitsnachweise</w:t>
            </w:r>
          </w:p>
        </w:tc>
        <w:tc>
          <w:tcPr>
            <w:tcW w:type="dxa" w:w="197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dem Grunde nach tenoriert</w:t>
            </w:r>
          </w:p>
        </w:tc>
      </w:tr>
      <w:tr>
        <w:trPr>
          <w:cantSplit/>
        </w:trPr>
        <w:tc>
          <w:tcPr>
            <w:tcW w:type="dxa" w:w="25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Hinzuziehung Bevollmächtigter</w:t>
            </w:r>
          </w:p>
        </w:tc>
        <w:tc>
          <w:tcPr>
            <w:tcW w:type="dxa" w:w="1774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§ 182 Abs. 4 GWB</w:t>
            </w:r>
          </w:p>
        </w:tc>
        <w:tc>
          <w:tcPr>
            <w:tcW w:type="dxa" w:w="276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Notwendigkeitsentscheidung</w:t>
            </w:r>
          </w:p>
        </w:tc>
        <w:tc>
          <w:tcPr>
            <w:tcW w:type="dxa" w:w="197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tenoriert</w:t>
            </w:r>
          </w:p>
        </w:tc>
      </w:tr>
    </w:tbl>
    <w:p>
      <w:pPr>
        <w:spacing w:after="0" w:before="40"/>
      </w:pPr>
    </w:p>
    <w:p>
      <w:r>
        <w:t>Die im Beschluss festgesetzte Kostenquote ist von der späteren rechnerischen Kostenfestsetzung zu trennen. Eine Vergleichsrechnung darf nur als Szenario, nicht als angebliche gesetzliche Gebühr ausgewiesen werden.</w:t>
      </w:r>
    </w:p>
    <w:p>
      <w:pPr>
        <w:pStyle w:val="Heading1"/>
      </w:pPr>
      <w:r>
        <w:t>3. Sofortige Beschwerde</w:t>
      </w:r>
    </w:p>
    <w:p>
      <w:r>
        <w:t>Im Beschwerdeverfahren beträgt der Streitwert nach § 50 Abs. 2 GKG grundsätzlich fünf Prozent der Bruttoauftragssumme. Optionen und angegriffener Auftragsumfang sind aktenbezogen zu prüfen. Der gerichtliche Wert gilt über § 23 Abs. 1 RVG für die gesetzlichen Anwaltsgebühren; Vergütungsvereinbarungen bleiben gesondert.</w:t>
      </w:r>
    </w:p>
    <w:p>
      <w:r>
        <w:t>Rechenblatt vor Freigabe: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3601"/>
        <w:gridCol w:w="2287"/>
        <w:gridCol w:w="3182"/>
      </w:tblGrid>
      <w:tr>
        <w:trPr>
          <w:tblHeader w:val="true"/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Eingabe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Wert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Beleg</w:t>
            </w:r>
          </w:p>
        </w:tc>
      </w:tr>
      <w:tr>
        <w:trPr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Bruttoauftragssumme inklusive Optionen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offen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Schätzvermerk und Vertragsentwurf</w:t>
            </w:r>
          </w:p>
        </w:tc>
      </w:tr>
      <w:tr>
        <w:trPr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Fünf Prozent nach § 50 Abs. 2 GKG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automatisch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Berechnungsblatt</w:t>
            </w:r>
          </w:p>
        </w:tc>
      </w:tr>
      <w:tr>
        <w:trPr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Aktuelle GKG-Gebührentabelle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live prüfen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amtliche Fassung</w:t>
            </w:r>
          </w:p>
        </w:tc>
      </w:tr>
      <w:tr>
        <w:trPr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RVG-Wert und Anrechnung der Vorbefassung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live prüfen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§ 23 RVG, VV RVG</w:t>
            </w:r>
          </w:p>
        </w:tc>
      </w:tr>
      <w:tr>
        <w:trPr>
          <w:cantSplit/>
        </w:trPr>
        <w:tc>
          <w:tcPr>
            <w:tcW w:type="dxa" w:w="360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Kosten mehrerer Beteiligter</w:t>
            </w:r>
          </w:p>
        </w:tc>
        <w:tc>
          <w:tcPr>
            <w:tcW w:type="dxa" w:w="228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Szenarien</w:t>
            </w:r>
          </w:p>
        </w:tc>
        <w:tc>
          <w:tcPr>
            <w:tcW w:type="dxa" w:w="318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Obsiegen, Unterliegen, Beiladung</w:t>
            </w:r>
          </w:p>
        </w:tc>
      </w:tr>
    </w:tbl>
    <w:p>
      <w:pPr>
        <w:spacing w:after="0" w:before="40"/>
      </w:pPr>
    </w:p>
    <w:p>
      <w:pPr>
        <w:pStyle w:val="Heading1"/>
      </w:pPr>
      <w:r>
        <w:t>4. Gesonderter § 135-Antrag</w:t>
      </w:r>
    </w:p>
    <w:p>
      <w:pPr>
        <w:keepNext/>
        <w:keepLines/>
      </w:pPr>
      <w:r>
        <w:t>Der Pilotvertrag ist durch Nachprüfungsantrag bei der Vergabekammer anzugreifen; das Oberlandesgericht wird erst im Beschwerdeweg befasst. Zu kalkulieren sind eine eigene Kammergebühr, notwendige Aufwendungen und das Risiko fehlender Oberschwellenzuständigkeit. Vor Einreichung ist das wirtschaftliche Interesse gegen Kosten- und Präklusionsrisiken abzuwägen.</w:t>
      </w:r>
    </w:p>
    <w:p>
      <w:pPr>
        <w:pStyle w:val="Heading1"/>
        <w:keepNext/>
        <w:keepLines/>
      </w:pPr>
      <w:r>
        <w:t>5. Schadensersatz</w:t>
      </w:r>
    </w:p>
    <w:p>
      <w:pPr>
        <w:keepNext/>
        <w:keepLines/>
      </w:pPr>
      <w:r>
        <w:t>§ 181 GWB ersetzt Angebots- oder Teilnahmekosten, wenn eine bieterschützende Vorschrift verletzt und eine echte Zuschlagschance beeinträchtigt wurde; subjektives Vertrauen ist nicht erforderlich. Entgangener Gewinn folgt nicht aus § 181 GWB. Weitergehender Schadensersatz erfordert eine gesonderte Anspruchsgrundlage sowie Verschulden, Kausalität und hypothetischen Zuschlag. Deckungsbeiträge sind nur belegt und unter Abzug ersparter Aufwendungen sowie der Alternativauslastung anzusetzen.</w:t>
      </w:r>
    </w:p>
    <w:p>
      <w:pPr>
        <w:pStyle w:val="Heading1"/>
        <w:keepLines/>
      </w:pPr>
      <w:r>
        <w:t>6. Chronologie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166"/>
        <w:gridCol w:w="2607"/>
        <w:gridCol w:w="4298"/>
      </w:tblGrid>
      <w:tr>
        <w:trPr>
          <w:tblHeader w:val="true"/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Ereignis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Kostenfolge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17.04.2026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Rüge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außergerichtliche Tätigkeit dokumentieren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24.04.2026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Nachprüfungsantrag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Kammerverfahren und Vorschussrisiko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04.06.2026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mündliche Verhandlung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Terminstätigkeit dokumentieren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25.06.2026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VK-Beschluss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Kostengrundentscheidung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27.06.2026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gesonderter § 135-Antrag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eigenes Kammerverfahren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09.07.2026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sofortige Beschwerde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GKG- und RVG-Wert nach § 50 Abs. 2 GKG</w:t>
            </w:r>
          </w:p>
        </w:tc>
      </w:tr>
      <w:tr>
        <w:trPr>
          <w:cantSplit/>
        </w:trPr>
        <w:tc>
          <w:tcPr>
            <w:tcW w:type="dxa" w:w="21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vor jeder Bezifferung</w:t>
            </w:r>
          </w:p>
        </w:tc>
        <w:tc>
          <w:tcPr>
            <w:tcW w:type="dxa" w:w="2607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Vier-Augen-Freigabe</w:t>
            </w:r>
          </w:p>
        </w:tc>
        <w:tc>
          <w:tcPr>
            <w:tcW w:type="dxa" w:w="429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Wert, Streitgegenstand, Tabelle, Anrechnung, Steuer und Schuldner prüfen</w:t>
            </w:r>
          </w:p>
        </w:tc>
      </w:tr>
    </w:tbl>
    <w:p>
      <w:pPr>
        <w:spacing w:after="0" w:before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3 VK 4/26 / 17 Verg 2/26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Bährens Vergaberecht Rechtsanwaltsgesellschaft mbH</w:t>
      <w:t xml:space="preserve">  |  3 VK 4/26 / 17 Verg 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Kosten- und Prozessrisiko im Nachprüfungs- und Beschwerdeverfahren</dc:title>
  <dc:subject>Kosten- und Prozessrisikomemo | Az. 3 VK 4/26 / 17 Verg 2/26</dc:subject>
  <dc:creator>Bährens Vergaberecht Rechtsanwaltsgesellschaft mbH</dc:creator>
  <cp:keywords>Vergaberecht, 3 VK 4/26 / 17 Verg 2/26, Kosten- und Prozessrisikomemo</cp:keywords>
  <dc:description>generated by python-docx</dc:description>
  <cp:lastModifiedBy>Bährens Vergaberecht Rechtsanwaltsgesellschaft 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