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Oberlandesgericht Rostock - Vergabesenat</w:t>
            </w:r>
          </w:p>
          <w:p>
            <w:pPr>
              <w:spacing w:after="0"/>
            </w:pPr>
            <w:r>
              <w:rPr>
                <w:color w:val="646464"/>
                <w:sz w:val="18"/>
              </w:rPr>
              <w:t>Wallstraße 3, 18055 Rostock</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13.07.2026</w:t>
              <w:br/>
            </w:r>
            <w:r>
              <w:rPr>
                <w:rFonts w:ascii="Times New Roman" w:hAnsi="Times New Roman"/>
                <w:color w:val="646464"/>
                <w:sz w:val="18"/>
              </w:rPr>
              <w:t>Aktenzeichen: 17 Verg 2/26</w:t>
              <w:br/>
            </w:r>
            <w:r>
              <w:rPr>
                <w:rFonts w:ascii="Times New Roman" w:hAnsi="Times New Roman"/>
                <w:color w:val="646464"/>
                <w:sz w:val="18"/>
              </w:rPr>
              <w:t>Verfügung zur Aktenvorlage</w:t>
            </w:r>
          </w:p>
        </w:tc>
      </w:tr>
    </w:tbl>
    <w:p>
      <w:pPr>
        <w:spacing w:before="200" w:after="40"/>
      </w:pPr>
      <w:r>
        <w:rPr>
          <w:rFonts w:ascii="Times New Roman" w:hAnsi="Times New Roman"/>
          <w:color w:val="646464"/>
          <w:sz w:val="15"/>
        </w:rPr>
        <w:t>Oberlandesgericht Rostock - Vergabesenat · Wallstraße 3, 18055 Rostock</w:t>
      </w:r>
    </w:p>
    <w:p>
      <w:pPr>
        <w:spacing w:after="240"/>
      </w:pPr>
      <w:r>
        <w:t>Vergabekammer Mecklenburg-Vorpommern und Beteiligte</w:t>
      </w:r>
    </w:p>
    <w:p>
      <w:pPr>
        <w:pStyle w:val="Title"/>
      </w:pPr>
      <w:r>
        <w:t>Aktenvorlage und Schwärzungsmatrix im Beschwerdeverfahren IT-SIG 2</w:t>
      </w:r>
    </w:p>
    <w:p>
      <w:pPr>
        <w:pStyle w:val="Heading1"/>
      </w:pPr>
      <w:r>
        <w:t>Verfügung</w:t>
      </w:r>
    </w:p>
    <w:p>
      <w:pPr>
        <w:pStyle w:val="ListNumber"/>
      </w:pPr>
      <w:r>
        <w:t>Die Vergabekammer wird gebeten, die vollständige Verfahrensakte einschließlich der ungeschwärzten Vergabeakte bis 15.07.2026 elektronisch zu übermitteln.</w:t>
      </w:r>
    </w:p>
    <w:p>
      <w:pPr>
        <w:pStyle w:val="ListNumber"/>
      </w:pPr>
      <w:r>
        <w:t>Die Beschwerdeführerin legt bis zu diesem Zeitpunkt ein fortlaufendes Aktenverzeichnis mit Dateiname, Dokumentdatum, Urheber, Versionsstand und Seitenzahl vor.</w:t>
      </w:r>
    </w:p>
    <w:p>
      <w:pPr>
        <w:pStyle w:val="ListNumber"/>
      </w:pPr>
      <w:r>
        <w:t>Die Beigeladene kennzeichnet für jede begehrte Schwärzung den konkreten Geheimhaltungsgrund und reicht eine geschwärzte Lesefassung ein.</w:t>
      </w:r>
    </w:p>
    <w:p>
      <w:pPr>
        <w:pStyle w:val="ListNumber"/>
      </w:pPr>
      <w:r>
        <w:t>Die Beschwerdegegnerin erhält nach gerichtlicher Prüfung Zugriff auf die freigegebenen Unterlagen und kann binnen drei Werktagen ergänzend Stellung nehmen.</w:t>
      </w:r>
    </w:p>
    <w:p>
      <w:pPr>
        <w:pStyle w:val="Heading1"/>
      </w:pPr>
      <w:r>
        <w:t>Anwendbares Recht</w:t>
      </w:r>
    </w:p>
    <w:p>
      <w:pPr>
        <w:keepNext/>
        <w:keepLines/>
      </w:pPr>
      <w:r>
        <w:t>Das Vergabeverfahren begann im Februar 2026. Nach § 187 Abs. 2 GWB wird es einschließlich Nachprüfungs- und Beschwerdeverfahren nach dem bei Einleitung geltenden Recht zu Ende geführt. Die Beteiligten haben deshalb in allen Schriftsätzen kenntlich zu machen, ob sie eine Norm in der bis 30.06.2026 geltenden oder in der späteren Fassung anführen.</w:t>
      </w:r>
    </w:p>
    <w:p>
      <w:pPr>
        <w:pStyle w:val="Heading1"/>
        <w:keepNext/>
        <w:keepLines/>
      </w:pPr>
      <w:r>
        <w:t>Vorläufige Schwärzungsmatrix</w:t>
      </w:r>
    </w:p>
    <w:tbl>
      <w:tblPr>
        <w:tblStyle w:val="TableGrid"/>
        <w:tblW w:type="dxa" w:w="9071"/>
        <w:jc w:val="left"/>
        <w:tblLayout w:type="fixed"/>
        <w:tblLook w:firstColumn="1" w:firstRow="1" w:lastColumn="0" w:lastRow="0" w:noHBand="0" w:noVBand="1" w:val="04A0"/>
      </w:tblPr>
      <w:tblGrid>
        <w:gridCol w:w="2040"/>
        <w:gridCol w:w="2385"/>
        <w:gridCol w:w="2464"/>
        <w:gridCol w:w="2182"/>
      </w:tblGrid>
      <w:tr>
        <w:trPr>
          <w:tblHeader w:val="true"/>
          <w:cantSplit/>
        </w:trPr>
        <w:tc>
          <w:tcPr>
            <w:tcW w:type="dxa" w:w="2040"/>
            <w:vAlign w:val="top"/>
            <w:tcMar>
              <w:top w:w="60" w:type="dxa"/>
              <w:start w:w="90" w:type="dxa"/>
              <w:bottom w:w="60" w:type="dxa"/>
              <w:end w:w="90" w:type="dxa"/>
            </w:tcMar>
            <w:shd w:fill="01696F"/>
          </w:tcPr>
          <w:p>
            <w:pPr>
              <w:keepLines/>
              <w:spacing w:after="0"/>
            </w:pPr>
            <w:r/>
            <w:r>
              <w:rPr>
                <w:rFonts w:ascii="Times New Roman" w:hAnsi="Times New Roman"/>
                <w:b/>
                <w:color w:val="FFFFFF"/>
                <w:sz w:val="17"/>
              </w:rPr>
              <w:t>Dokumentgruppe</w:t>
            </w:r>
          </w:p>
        </w:tc>
        <w:tc>
          <w:tcPr>
            <w:tcW w:type="dxa" w:w="2385"/>
            <w:vAlign w:val="top"/>
            <w:tcMar>
              <w:top w:w="60" w:type="dxa"/>
              <w:start w:w="90" w:type="dxa"/>
              <w:bottom w:w="60" w:type="dxa"/>
              <w:end w:w="90" w:type="dxa"/>
            </w:tcMar>
            <w:shd w:fill="01696F"/>
          </w:tcPr>
          <w:p>
            <w:pPr>
              <w:keepLines/>
              <w:spacing w:after="0"/>
            </w:pPr>
            <w:r/>
            <w:r>
              <w:rPr>
                <w:rFonts w:ascii="Times New Roman" w:hAnsi="Times New Roman"/>
                <w:b/>
                <w:color w:val="FFFFFF"/>
                <w:sz w:val="17"/>
              </w:rPr>
              <w:t>grundsätzlich offenzulegen</w:t>
            </w:r>
          </w:p>
        </w:tc>
        <w:tc>
          <w:tcPr>
            <w:tcW w:type="dxa" w:w="2464"/>
            <w:vAlign w:val="top"/>
            <w:tcMar>
              <w:top w:w="60" w:type="dxa"/>
              <w:start w:w="90" w:type="dxa"/>
              <w:bottom w:w="60" w:type="dxa"/>
              <w:end w:w="90" w:type="dxa"/>
            </w:tcMar>
            <w:shd w:fill="01696F"/>
          </w:tcPr>
          <w:p>
            <w:pPr>
              <w:keepLines/>
              <w:spacing w:after="0"/>
            </w:pPr>
            <w:r/>
            <w:r>
              <w:rPr>
                <w:rFonts w:ascii="Times New Roman" w:hAnsi="Times New Roman"/>
                <w:b/>
                <w:color w:val="FFFFFF"/>
                <w:sz w:val="17"/>
              </w:rPr>
              <w:t>schwärzungsfähig</w:t>
            </w:r>
          </w:p>
        </w:tc>
        <w:tc>
          <w:tcPr>
            <w:tcW w:type="dxa" w:w="21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nicht ausreichend</w:t>
            </w:r>
          </w:p>
        </w:tc>
      </w:tr>
      <w:tr>
        <w:trPr>
          <w:cantSplit/>
        </w:trPr>
        <w:tc>
          <w:tcPr>
            <w:tcW w:type="dxa" w:w="2040"/>
            <w:vAlign w:val="top"/>
            <w:tcMar>
              <w:top w:w="60" w:type="dxa"/>
              <w:start w:w="90" w:type="dxa"/>
              <w:bottom w:w="60" w:type="dxa"/>
              <w:end w:w="90" w:type="dxa"/>
            </w:tcMar>
          </w:tcPr>
          <w:p>
            <w:pPr>
              <w:keepLines/>
              <w:spacing w:after="0"/>
            </w:pPr>
            <w:r/>
            <w:r>
              <w:rPr>
                <w:rFonts w:ascii="Times New Roman" w:hAnsi="Times New Roman"/>
                <w:sz w:val="17"/>
              </w:rPr>
              <w:t>Wertung T-2</w:t>
            </w:r>
          </w:p>
        </w:tc>
        <w:tc>
          <w:tcPr>
            <w:tcW w:type="dxa" w:w="2385"/>
            <w:vAlign w:val="top"/>
            <w:tcMar>
              <w:top w:w="60" w:type="dxa"/>
              <w:start w:w="90" w:type="dxa"/>
              <w:bottom w:w="60" w:type="dxa"/>
              <w:end w:w="90" w:type="dxa"/>
            </w:tcMar>
          </w:tcPr>
          <w:p>
            <w:pPr>
              <w:keepLines/>
              <w:spacing w:after="0"/>
            </w:pPr>
            <w:r/>
            <w:r>
              <w:rPr>
                <w:rFonts w:ascii="Times New Roman" w:hAnsi="Times New Roman"/>
                <w:sz w:val="17"/>
              </w:rPr>
              <w:t>Punkte, Maßstab, tragende Erwägung und Versionsfolge</w:t>
            </w:r>
          </w:p>
        </w:tc>
        <w:tc>
          <w:tcPr>
            <w:tcW w:type="dxa" w:w="2464"/>
            <w:vAlign w:val="top"/>
            <w:tcMar>
              <w:top w:w="60" w:type="dxa"/>
              <w:start w:w="90" w:type="dxa"/>
              <w:bottom w:w="60" w:type="dxa"/>
              <w:end w:w="90" w:type="dxa"/>
            </w:tcMar>
          </w:tcPr>
          <w:p>
            <w:pPr>
              <w:keepLines/>
              <w:spacing w:after="0"/>
            </w:pPr>
            <w:r/>
            <w:r>
              <w:rPr>
                <w:rFonts w:ascii="Times New Roman" w:hAnsi="Times New Roman"/>
                <w:sz w:val="17"/>
              </w:rPr>
              <w:t>technische Schutzdetails</w:t>
            </w:r>
          </w:p>
        </w:tc>
        <w:tc>
          <w:tcPr>
            <w:tcW w:type="dxa" w:w="2182"/>
            <w:vAlign w:val="top"/>
            <w:tcMar>
              <w:top w:w="60" w:type="dxa"/>
              <w:start w:w="90" w:type="dxa"/>
              <w:bottom w:w="60" w:type="dxa"/>
              <w:end w:w="90" w:type="dxa"/>
            </w:tcMar>
          </w:tcPr>
          <w:p>
            <w:pPr>
              <w:keepLines/>
              <w:spacing w:after="0"/>
            </w:pPr>
            <w:r/>
            <w:r>
              <w:rPr>
                <w:rFonts w:ascii="Times New Roman" w:hAnsi="Times New Roman"/>
                <w:sz w:val="17"/>
              </w:rPr>
              <w:t>pauschaler Hinweis auf Know-how</w:t>
            </w:r>
          </w:p>
        </w:tc>
      </w:tr>
      <w:tr>
        <w:trPr>
          <w:cantSplit/>
        </w:trPr>
        <w:tc>
          <w:tcPr>
            <w:tcW w:type="dxa" w:w="2040"/>
            <w:vAlign w:val="top"/>
            <w:tcMar>
              <w:top w:w="60" w:type="dxa"/>
              <w:start w:w="90" w:type="dxa"/>
              <w:bottom w:w="60" w:type="dxa"/>
              <w:end w:w="90" w:type="dxa"/>
            </w:tcMar>
            <w:shd w:fill="F1F3F3"/>
          </w:tcPr>
          <w:p>
            <w:pPr>
              <w:keepLines/>
              <w:spacing w:after="0"/>
            </w:pPr>
            <w:r/>
            <w:r>
              <w:rPr>
                <w:rFonts w:ascii="Times New Roman" w:hAnsi="Times New Roman"/>
                <w:sz w:val="17"/>
              </w:rPr>
              <w:t>VVS-Referenz</w:t>
            </w:r>
          </w:p>
        </w:tc>
        <w:tc>
          <w:tcPr>
            <w:tcW w:type="dxa" w:w="2385"/>
            <w:vAlign w:val="top"/>
            <w:tcMar>
              <w:top w:w="60" w:type="dxa"/>
              <w:start w:w="90" w:type="dxa"/>
              <w:bottom w:w="60" w:type="dxa"/>
              <w:end w:w="90" w:type="dxa"/>
            </w:tcMar>
            <w:shd w:fill="F1F3F3"/>
          </w:tcPr>
          <w:p>
            <w:pPr>
              <w:keepLines/>
              <w:spacing w:after="0"/>
            </w:pPr>
            <w:r/>
            <w:r>
              <w:rPr>
                <w:rFonts w:ascii="Times New Roman" w:hAnsi="Times New Roman"/>
                <w:sz w:val="17"/>
              </w:rPr>
              <w:t>Leistungsinhalt, Zeitraum, Rolle und Vergleichsprüfung</w:t>
            </w:r>
          </w:p>
        </w:tc>
        <w:tc>
          <w:tcPr>
            <w:tcW w:type="dxa" w:w="2464"/>
            <w:vAlign w:val="top"/>
            <w:tcMar>
              <w:top w:w="60" w:type="dxa"/>
              <w:start w:w="90" w:type="dxa"/>
              <w:bottom w:w="60" w:type="dxa"/>
              <w:end w:w="90" w:type="dxa"/>
            </w:tcMar>
            <w:shd w:fill="F1F3F3"/>
          </w:tcPr>
          <w:p>
            <w:pPr>
              <w:keepLines/>
              <w:spacing w:after="0"/>
            </w:pPr>
            <w:r/>
            <w:r>
              <w:rPr>
                <w:rFonts w:ascii="Times New Roman" w:hAnsi="Times New Roman"/>
                <w:sz w:val="17"/>
              </w:rPr>
              <w:t>Namen, Entgelt, nicht relevante Infrastruktur</w:t>
            </w:r>
          </w:p>
        </w:tc>
        <w:tc>
          <w:tcPr>
            <w:tcW w:type="dxa" w:w="2182"/>
            <w:vAlign w:val="top"/>
            <w:tcMar>
              <w:top w:w="60" w:type="dxa"/>
              <w:start w:w="90" w:type="dxa"/>
              <w:bottom w:w="60" w:type="dxa"/>
              <w:end w:w="90" w:type="dxa"/>
            </w:tcMar>
            <w:shd w:fill="F1F3F3"/>
          </w:tcPr>
          <w:p>
            <w:pPr>
              <w:keepLines/>
              <w:spacing w:after="0"/>
            </w:pPr>
            <w:r/>
            <w:r>
              <w:rPr>
                <w:rFonts w:ascii="Times New Roman" w:hAnsi="Times New Roman"/>
                <w:sz w:val="17"/>
              </w:rPr>
              <w:t>vollständige Schwärzung der Leistungsart</w:t>
            </w:r>
          </w:p>
        </w:tc>
      </w:tr>
      <w:tr>
        <w:trPr>
          <w:cantSplit/>
        </w:trPr>
        <w:tc>
          <w:tcPr>
            <w:tcW w:type="dxa" w:w="2040"/>
            <w:vAlign w:val="top"/>
            <w:tcMar>
              <w:top w:w="60" w:type="dxa"/>
              <w:start w:w="90" w:type="dxa"/>
              <w:bottom w:w="60" w:type="dxa"/>
              <w:end w:w="90" w:type="dxa"/>
            </w:tcMar>
          </w:tcPr>
          <w:p>
            <w:pPr>
              <w:keepLines/>
              <w:spacing w:after="0"/>
            </w:pPr>
            <w:r/>
            <w:r>
              <w:rPr>
                <w:rFonts w:ascii="Times New Roman" w:hAnsi="Times New Roman"/>
                <w:sz w:val="17"/>
              </w:rPr>
              <w:t>Reaktionszeitenkonzept</w:t>
            </w:r>
          </w:p>
        </w:tc>
        <w:tc>
          <w:tcPr>
            <w:tcW w:type="dxa" w:w="2385"/>
            <w:vAlign w:val="top"/>
            <w:tcMar>
              <w:top w:w="60" w:type="dxa"/>
              <w:start w:w="90" w:type="dxa"/>
              <w:bottom w:w="60" w:type="dxa"/>
              <w:end w:w="90" w:type="dxa"/>
            </w:tcMar>
          </w:tcPr>
          <w:p>
            <w:pPr>
              <w:keepLines/>
              <w:spacing w:after="0"/>
            </w:pPr>
            <w:r/>
            <w:r>
              <w:rPr>
                <w:rFonts w:ascii="Times New Roman" w:hAnsi="Times New Roman"/>
                <w:sz w:val="17"/>
              </w:rPr>
              <w:t>ursprüngliche Zusage, Aufklärungsfrage, geänderte Passage</w:t>
            </w:r>
          </w:p>
        </w:tc>
        <w:tc>
          <w:tcPr>
            <w:tcW w:type="dxa" w:w="2464"/>
            <w:vAlign w:val="top"/>
            <w:tcMar>
              <w:top w:w="60" w:type="dxa"/>
              <w:start w:w="90" w:type="dxa"/>
              <w:bottom w:w="60" w:type="dxa"/>
              <w:end w:w="90" w:type="dxa"/>
            </w:tcMar>
          </w:tcPr>
          <w:p>
            <w:pPr>
              <w:keepLines/>
              <w:spacing w:after="0"/>
            </w:pPr>
            <w:r/>
            <w:r>
              <w:rPr>
                <w:rFonts w:ascii="Times New Roman" w:hAnsi="Times New Roman"/>
                <w:sz w:val="17"/>
              </w:rPr>
              <w:t>konkrete Kontaktdaten und Netzadressen</w:t>
            </w:r>
          </w:p>
        </w:tc>
        <w:tc>
          <w:tcPr>
            <w:tcW w:type="dxa" w:w="2182"/>
            <w:vAlign w:val="top"/>
            <w:tcMar>
              <w:top w:w="60" w:type="dxa"/>
              <w:start w:w="90" w:type="dxa"/>
              <w:bottom w:w="60" w:type="dxa"/>
              <w:end w:w="90" w:type="dxa"/>
            </w:tcMar>
          </w:tcPr>
          <w:p>
            <w:pPr>
              <w:keepLines/>
              <w:spacing w:after="0"/>
            </w:pPr>
            <w:r/>
            <w:r>
              <w:rPr>
                <w:rFonts w:ascii="Times New Roman" w:hAnsi="Times New Roman"/>
                <w:sz w:val="17"/>
              </w:rPr>
              <w:t>Schwärzung des Zeitwerts oder Änderungsumfangs</w:t>
            </w:r>
          </w:p>
        </w:tc>
      </w:tr>
      <w:tr>
        <w:trPr>
          <w:cantSplit/>
        </w:trPr>
        <w:tc>
          <w:tcPr>
            <w:tcW w:type="dxa" w:w="2040"/>
            <w:vAlign w:val="top"/>
            <w:tcMar>
              <w:top w:w="60" w:type="dxa"/>
              <w:start w:w="90" w:type="dxa"/>
              <w:bottom w:w="60" w:type="dxa"/>
              <w:end w:w="90" w:type="dxa"/>
            </w:tcMar>
            <w:shd w:fill="F1F3F3"/>
          </w:tcPr>
          <w:p>
            <w:pPr>
              <w:keepLines/>
              <w:spacing w:after="0"/>
            </w:pPr>
            <w:r/>
            <w:r>
              <w:rPr>
                <w:rFonts w:ascii="Times New Roman" w:hAnsi="Times New Roman"/>
                <w:sz w:val="17"/>
              </w:rPr>
              <w:t>Preisblatt</w:t>
            </w:r>
          </w:p>
        </w:tc>
        <w:tc>
          <w:tcPr>
            <w:tcW w:type="dxa" w:w="2385"/>
            <w:vAlign w:val="top"/>
            <w:tcMar>
              <w:top w:w="60" w:type="dxa"/>
              <w:start w:w="90" w:type="dxa"/>
              <w:bottom w:w="60" w:type="dxa"/>
              <w:end w:w="90" w:type="dxa"/>
            </w:tcMar>
            <w:shd w:fill="F1F3F3"/>
          </w:tcPr>
          <w:p>
            <w:pPr>
              <w:keepLines/>
              <w:spacing w:after="0"/>
            </w:pPr>
            <w:r/>
            <w:r>
              <w:rPr>
                <w:rFonts w:ascii="Times New Roman" w:hAnsi="Times New Roman"/>
                <w:sz w:val="17"/>
              </w:rPr>
              <w:t>nur soweit Streitgegenstand oder Kausalität betroffen</w:t>
            </w:r>
          </w:p>
        </w:tc>
        <w:tc>
          <w:tcPr>
            <w:tcW w:type="dxa" w:w="2464"/>
            <w:vAlign w:val="top"/>
            <w:tcMar>
              <w:top w:w="60" w:type="dxa"/>
              <w:start w:w="90" w:type="dxa"/>
              <w:bottom w:w="60" w:type="dxa"/>
              <w:end w:w="90" w:type="dxa"/>
            </w:tcMar>
            <w:shd w:fill="F1F3F3"/>
          </w:tcPr>
          <w:p>
            <w:pPr>
              <w:keepLines/>
              <w:spacing w:after="0"/>
            </w:pPr>
            <w:r/>
            <w:r>
              <w:rPr>
                <w:rFonts w:ascii="Times New Roman" w:hAnsi="Times New Roman"/>
                <w:sz w:val="17"/>
              </w:rPr>
              <w:t>Einzelkalkulation und Deckungsbeiträge</w:t>
            </w:r>
          </w:p>
        </w:tc>
        <w:tc>
          <w:tcPr>
            <w:tcW w:type="dxa" w:w="2182"/>
            <w:vAlign w:val="top"/>
            <w:tcMar>
              <w:top w:w="60" w:type="dxa"/>
              <w:start w:w="90" w:type="dxa"/>
              <w:bottom w:w="60" w:type="dxa"/>
              <w:end w:w="90" w:type="dxa"/>
            </w:tcMar>
            <w:shd w:fill="F1F3F3"/>
          </w:tcPr>
          <w:p>
            <w:pPr>
              <w:keepLines/>
              <w:spacing w:after="0"/>
            </w:pPr>
            <w:r/>
            <w:r>
              <w:rPr>
                <w:rFonts w:ascii="Times New Roman" w:hAnsi="Times New Roman"/>
                <w:sz w:val="17"/>
              </w:rPr>
              <w:t>Offenlegung ohne Verfahrensbezug</w:t>
            </w:r>
          </w:p>
        </w:tc>
      </w:tr>
      <w:tr>
        <w:trPr>
          <w:cantSplit/>
        </w:trPr>
        <w:tc>
          <w:tcPr>
            <w:tcW w:type="dxa" w:w="2040"/>
            <w:vAlign w:val="top"/>
            <w:tcMar>
              <w:top w:w="60" w:type="dxa"/>
              <w:start w:w="90" w:type="dxa"/>
              <w:bottom w:w="60" w:type="dxa"/>
              <w:end w:w="90" w:type="dxa"/>
            </w:tcMar>
          </w:tcPr>
          <w:p>
            <w:pPr>
              <w:keepLines/>
              <w:spacing w:after="0"/>
            </w:pPr>
            <w:r/>
            <w:r>
              <w:rPr>
                <w:rFonts w:ascii="Times New Roman" w:hAnsi="Times New Roman"/>
                <w:sz w:val="17"/>
              </w:rPr>
              <w:t>Portalprotokoll</w:t>
            </w:r>
          </w:p>
        </w:tc>
        <w:tc>
          <w:tcPr>
            <w:tcW w:type="dxa" w:w="2385"/>
            <w:vAlign w:val="top"/>
            <w:tcMar>
              <w:top w:w="60" w:type="dxa"/>
              <w:start w:w="90" w:type="dxa"/>
              <w:bottom w:w="60" w:type="dxa"/>
              <w:end w:w="90" w:type="dxa"/>
            </w:tcMar>
          </w:tcPr>
          <w:p>
            <w:pPr>
              <w:keepLines/>
              <w:spacing w:after="0"/>
            </w:pPr>
            <w:r/>
            <w:r>
              <w:rPr>
                <w:rFonts w:ascii="Times New Roman" w:hAnsi="Times New Roman"/>
                <w:sz w:val="17"/>
              </w:rPr>
              <w:t>Zeitstempel, Version, Absender und Empfänger</w:t>
            </w:r>
          </w:p>
        </w:tc>
        <w:tc>
          <w:tcPr>
            <w:tcW w:type="dxa" w:w="2464"/>
            <w:vAlign w:val="top"/>
            <w:tcMar>
              <w:top w:w="60" w:type="dxa"/>
              <w:start w:w="90" w:type="dxa"/>
              <w:bottom w:w="60" w:type="dxa"/>
              <w:end w:w="90" w:type="dxa"/>
            </w:tcMar>
          </w:tcPr>
          <w:p>
            <w:pPr>
              <w:keepLines/>
              <w:spacing w:after="0"/>
            </w:pPr>
            <w:r/>
            <w:r>
              <w:rPr>
                <w:rFonts w:ascii="Times New Roman" w:hAnsi="Times New Roman"/>
                <w:sz w:val="17"/>
              </w:rPr>
              <w:t>Authentifizierungsdaten</w:t>
            </w:r>
          </w:p>
        </w:tc>
        <w:tc>
          <w:tcPr>
            <w:tcW w:type="dxa" w:w="2182"/>
            <w:vAlign w:val="top"/>
            <w:tcMar>
              <w:top w:w="60" w:type="dxa"/>
              <w:start w:w="90" w:type="dxa"/>
              <w:bottom w:w="60" w:type="dxa"/>
              <w:end w:w="90" w:type="dxa"/>
            </w:tcMar>
          </w:tcPr>
          <w:p>
            <w:pPr>
              <w:keepLines/>
              <w:spacing w:after="0"/>
            </w:pPr>
            <w:r/>
            <w:r>
              <w:rPr>
                <w:rFonts w:ascii="Times New Roman" w:hAnsi="Times New Roman"/>
                <w:sz w:val="17"/>
              </w:rPr>
              <w:t>Schwärzung der Einreichungszeit</w:t>
            </w:r>
          </w:p>
        </w:tc>
      </w:tr>
    </w:tbl>
    <w:p>
      <w:pPr>
        <w:spacing w:after="0" w:before="40"/>
      </w:pPr>
    </w:p>
    <w:p>
      <w:pPr>
        <w:pStyle w:val="Heading1"/>
        <w:keepNext/>
        <w:keepLines/>
      </w:pPr>
      <w:r>
        <w:t>Technische Übermittlung</w:t>
      </w:r>
    </w:p>
    <w:p>
      <w:pPr>
        <w:keepNext/>
        <w:keepLines/>
      </w:pPr>
      <w:r>
        <w:t>Die Vergabeakte wird als unveränderbares Paket mit SHA-256-Prüfsummenliste übermittelt. E-Mail-Anlagen sind im Originalformat und zusätzlich als PDF-Lesefassung beizufügen. Containerdateien dürfen nicht neu gepackt werden, wenn dadurch Zeitstempel oder Signaturinformationen verloren gehen.</w:t>
      </w:r>
    </w:p>
    <w:p>
      <w:pPr>
        <w:pStyle w:val="Heading1"/>
        <w:keepNext/>
        <w:keepLines/>
      </w:pPr>
      <w:r>
        <w:t>Hinweis des Senats</w:t>
      </w:r>
    </w:p>
    <w:p>
      <w:pPr>
        <w:keepLines/>
      </w:pPr>
      <w:r>
        <w:t>Die Akteneinsicht dient der effektiven Rechtsverfolgung, vermittelt aber keinen Zugang zu sämtlichen Geschäfts- und Sicherheitsinformationen. Der Senat entscheidet dokumentbezogen. Die Parteien sollen deshalb Schwärzung, Entscheidungsrelevanz und mögliche Ersatzinformation jeweils in derselben Tabellenzeile gegenüberstellen.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17 Verg 2/26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Oberlandesgericht Rostock - Vergabesenat</w:t>
      <w:t xml:space="preserve">  |  17 Verg 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Aktenvorlage und Schwärzungsmatrix im Beschwerdeverfahren IT-SIG 2</dc:title>
  <dc:subject>Verfügung zur Aktenvorlage | Az. 17 Verg 2/26</dc:subject>
  <dc:creator>Oberlandesgericht Rostock - Vergabesenat</dc:creator>
  <cp:keywords>Vergaberecht, 17 Verg 2/26, Verfügung zur Aktenvorlage</cp:keywords>
  <dc:description>generated by python-docx</dc:description>
  <cp:lastModifiedBy>Oberlandesgericht Rostock - Vergabesenat</cp:lastModifiedBy>
  <cp:revision>1</cp:revision>
  <dcterms:created xsi:type="dcterms:W3CDTF">2000-01-01T00:00:00Z</dcterms:created>
  <dcterms:modified xsi:type="dcterms:W3CDTF">2000-01-01T00:00:00Z</dcterms:modified>
  <cp:category>Vergabeakte</cp:category>
</cp:coreProperties>
</file>