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Landeshauptstadt Schwerin - Eigenbetrieb SDS</w:t>
            </w:r>
          </w:p>
          <w:p>
            <w:pPr>
              <w:spacing w:after="0"/>
            </w:pPr>
            <w:r>
              <w:rPr>
                <w:color w:val="646464"/>
                <w:sz w:val="18"/>
              </w:rPr>
              <w:t>Am Grünen Tal 18, 19063 Schwerin</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07.08.2026</w:t>
              <w:br/>
            </w:r>
            <w:r>
              <w:rPr>
                <w:rFonts w:ascii="Times New Roman" w:hAnsi="Times New Roman"/>
                <w:color w:val="646464"/>
                <w:sz w:val="18"/>
              </w:rPr>
              <w:t>Aktenzeichen: LH-SN-Cyber-SOC-NSV-2026 / Wertung-06</w:t>
              <w:br/>
            </w:r>
            <w:r>
              <w:rPr>
                <w:rFonts w:ascii="Times New Roman" w:hAnsi="Times New Roman"/>
                <w:color w:val="646464"/>
                <w:sz w:val="18"/>
              </w:rPr>
              <w:t>Einzelwertungsbögen und Konsensprotokoll</w:t>
            </w:r>
          </w:p>
        </w:tc>
      </w:tr>
    </w:tbl>
    <w:p>
      <w:pPr>
        <w:spacing w:before="200" w:after="40"/>
      </w:pPr>
      <w:r>
        <w:rPr>
          <w:rFonts w:ascii="Times New Roman" w:hAnsi="Times New Roman"/>
          <w:color w:val="646464"/>
          <w:sz w:val="15"/>
        </w:rPr>
        <w:t>Landeshauptstadt Schwerin - Eigenbetrieb SDS · Am Grünen Tal 18, 19063 Schwerin</w:t>
      </w:r>
    </w:p>
    <w:p>
      <w:pPr>
        <w:spacing w:after="240"/>
      </w:pPr>
      <w:r>
        <w:t>Vergabeakte LH-SN-Cyber-SOC-NSV-2026</w:t>
      </w:r>
    </w:p>
    <w:p>
      <w:pPr>
        <w:pStyle w:val="Title"/>
      </w:pPr>
      <w:r>
        <w:t>Reproduzierbare Neuwertung der Fach- und Reaktionskonzepte</w:t>
      </w:r>
    </w:p>
    <w:p>
      <w:pPr>
        <w:pStyle w:val="Heading1"/>
      </w:pPr>
      <w:r>
        <w:t>1. Wertungsgruppe und Datenstand</w:t>
      </w:r>
    </w:p>
    <w:p>
      <w:r>
        <w:t>Die Neuwertung führten Dr. Jana Mertens, Robert Ahrens und Katja Linde durch; niemand war an der aufgehobenen Entscheidung beteiligt. Verwendet wurden nur die bis 22.04.2026, 10:00 Uhr, eingegangenen Dateien. Reaktionszeitenkonzept_v2.pdf vom 30.04.2026 blieb technisch gesperrt; die Einzelbögen wurden vor dem Konsens unveränderbar archiviert.</w:t>
      </w:r>
    </w:p>
    <w:p>
      <w:pPr>
        <w:pStyle w:val="Heading1"/>
      </w:pPr>
      <w:r>
        <w:t>2. Einzelwertung Fachkonzept</w:t>
      </w:r>
    </w:p>
    <w:tbl>
      <w:tblPr>
        <w:tblStyle w:val="TableGrid"/>
        <w:tblW w:type="dxa" w:w="9070"/>
        <w:jc w:val="left"/>
        <w:tblLayout w:type="fixed"/>
        <w:tblLook w:firstColumn="1" w:firstRow="1" w:lastColumn="0" w:lastRow="0" w:noHBand="0" w:noVBand="1" w:val="04A0"/>
      </w:tblPr>
      <w:tblGrid>
        <w:gridCol w:w="2011"/>
        <w:gridCol w:w="1195"/>
        <w:gridCol w:w="1195"/>
        <w:gridCol w:w="1195"/>
        <w:gridCol w:w="1195"/>
        <w:gridCol w:w="2279"/>
      </w:tblGrid>
      <w:tr>
        <w:trPr>
          <w:tblHeader w:val="true"/>
          <w:cantSplit/>
        </w:trPr>
        <w:tc>
          <w:tcPr>
            <w:tcW w:type="dxa" w:w="2011"/>
            <w:vAlign w:val="top"/>
            <w:tcMar>
              <w:top w:w="60" w:type="dxa"/>
              <w:start w:w="90" w:type="dxa"/>
              <w:bottom w:w="60" w:type="dxa"/>
              <w:end w:w="90" w:type="dxa"/>
            </w:tcMar>
            <w:shd w:fill="01696F"/>
          </w:tcPr>
          <w:p>
            <w:pPr>
              <w:keepLines/>
              <w:spacing w:after="0"/>
            </w:pPr>
            <w:r/>
            <w:r>
              <w:rPr>
                <w:rFonts w:ascii="Times New Roman" w:hAnsi="Times New Roman"/>
                <w:b/>
                <w:color w:val="FFFFFF"/>
                <w:sz w:val="17"/>
              </w:rPr>
              <w:t>Bieter</w:t>
            </w:r>
          </w:p>
        </w:tc>
        <w:tc>
          <w:tcPr>
            <w:tcW w:type="dxa" w:w="1195"/>
            <w:vAlign w:val="top"/>
            <w:tcMar>
              <w:top w:w="60" w:type="dxa"/>
              <w:start w:w="90" w:type="dxa"/>
              <w:bottom w:w="60" w:type="dxa"/>
              <w:end w:w="90" w:type="dxa"/>
            </w:tcMar>
            <w:shd w:fill="01696F"/>
          </w:tcPr>
          <w:p>
            <w:pPr>
              <w:keepLines/>
              <w:spacing w:after="0"/>
            </w:pPr>
            <w:r/>
            <w:r>
              <w:rPr>
                <w:rFonts w:ascii="Times New Roman" w:hAnsi="Times New Roman"/>
                <w:b/>
                <w:color w:val="FFFFFF"/>
                <w:sz w:val="17"/>
              </w:rPr>
              <w:t>Mertens</w:t>
            </w:r>
          </w:p>
        </w:tc>
        <w:tc>
          <w:tcPr>
            <w:tcW w:type="dxa" w:w="1195"/>
            <w:vAlign w:val="top"/>
            <w:tcMar>
              <w:top w:w="60" w:type="dxa"/>
              <w:start w:w="90" w:type="dxa"/>
              <w:bottom w:w="60" w:type="dxa"/>
              <w:end w:w="90" w:type="dxa"/>
            </w:tcMar>
            <w:shd w:fill="01696F"/>
          </w:tcPr>
          <w:p>
            <w:pPr>
              <w:keepLines/>
              <w:spacing w:after="0"/>
            </w:pPr>
            <w:r/>
            <w:r>
              <w:rPr>
                <w:rFonts w:ascii="Times New Roman" w:hAnsi="Times New Roman"/>
                <w:b/>
                <w:color w:val="FFFFFF"/>
                <w:sz w:val="17"/>
              </w:rPr>
              <w:t>Ahrens</w:t>
            </w:r>
          </w:p>
        </w:tc>
        <w:tc>
          <w:tcPr>
            <w:tcW w:type="dxa" w:w="1195"/>
            <w:vAlign w:val="top"/>
            <w:tcMar>
              <w:top w:w="60" w:type="dxa"/>
              <w:start w:w="90" w:type="dxa"/>
              <w:bottom w:w="60" w:type="dxa"/>
              <w:end w:w="90" w:type="dxa"/>
            </w:tcMar>
            <w:shd w:fill="01696F"/>
          </w:tcPr>
          <w:p>
            <w:pPr>
              <w:keepLines/>
              <w:spacing w:after="0"/>
            </w:pPr>
            <w:r/>
            <w:r>
              <w:rPr>
                <w:rFonts w:ascii="Times New Roman" w:hAnsi="Times New Roman"/>
                <w:b/>
                <w:color w:val="FFFFFF"/>
                <w:sz w:val="17"/>
              </w:rPr>
              <w:t>Linde</w:t>
            </w:r>
          </w:p>
        </w:tc>
        <w:tc>
          <w:tcPr>
            <w:tcW w:type="dxa" w:w="1195"/>
            <w:vAlign w:val="top"/>
            <w:tcMar>
              <w:top w:w="60" w:type="dxa"/>
              <w:start w:w="90" w:type="dxa"/>
              <w:bottom w:w="60" w:type="dxa"/>
              <w:end w:w="90" w:type="dxa"/>
            </w:tcMar>
            <w:shd w:fill="01696F"/>
          </w:tcPr>
          <w:p>
            <w:pPr>
              <w:keepLines/>
              <w:spacing w:after="0"/>
            </w:pPr>
            <w:r/>
            <w:r>
              <w:rPr>
                <w:rFonts w:ascii="Times New Roman" w:hAnsi="Times New Roman"/>
                <w:b/>
                <w:color w:val="FFFFFF"/>
                <w:sz w:val="17"/>
              </w:rPr>
              <w:t>Spannweite</w:t>
            </w:r>
          </w:p>
        </w:tc>
        <w:tc>
          <w:tcPr>
            <w:tcW w:type="dxa" w:w="2279"/>
            <w:vAlign w:val="top"/>
            <w:tcMar>
              <w:top w:w="60" w:type="dxa"/>
              <w:start w:w="90" w:type="dxa"/>
              <w:bottom w:w="60" w:type="dxa"/>
              <w:end w:w="90" w:type="dxa"/>
            </w:tcMar>
            <w:shd w:fill="01696F"/>
          </w:tcPr>
          <w:p>
            <w:pPr>
              <w:keepLines/>
              <w:spacing w:after="0"/>
            </w:pPr>
            <w:r/>
            <w:r>
              <w:rPr>
                <w:rFonts w:ascii="Times New Roman" w:hAnsi="Times New Roman"/>
                <w:b/>
                <w:color w:val="FFFFFF"/>
                <w:sz w:val="17"/>
              </w:rPr>
              <w:t>hauptsächlicher Klärungspunkt</w:t>
            </w:r>
          </w:p>
        </w:tc>
      </w:tr>
      <w:tr>
        <w:trPr>
          <w:cantSplit/>
        </w:trPr>
        <w:tc>
          <w:tcPr>
            <w:tcW w:type="dxa" w:w="2011"/>
            <w:vAlign w:val="top"/>
            <w:tcMar>
              <w:top w:w="60" w:type="dxa"/>
              <w:start w:w="90" w:type="dxa"/>
              <w:bottom w:w="60" w:type="dxa"/>
              <w:end w:w="90" w:type="dxa"/>
            </w:tcMar>
          </w:tcPr>
          <w:p>
            <w:pPr>
              <w:keepLines/>
              <w:spacing w:after="0"/>
            </w:pPr>
            <w:r/>
            <w:r>
              <w:rPr>
                <w:rFonts w:ascii="Times New Roman" w:hAnsi="Times New Roman"/>
                <w:sz w:val="17"/>
              </w:rPr>
              <w:t>CyberShield Defense GmbH</w:t>
            </w:r>
          </w:p>
        </w:tc>
        <w:tc>
          <w:tcPr>
            <w:tcW w:type="dxa" w:w="1195"/>
            <w:vAlign w:val="top"/>
            <w:tcMar>
              <w:top w:w="60" w:type="dxa"/>
              <w:start w:w="90" w:type="dxa"/>
              <w:bottom w:w="60" w:type="dxa"/>
              <w:end w:w="90" w:type="dxa"/>
            </w:tcMar>
          </w:tcPr>
          <w:p>
            <w:pPr>
              <w:keepLines/>
              <w:spacing w:after="0"/>
            </w:pPr>
            <w:r/>
            <w:r>
              <w:rPr>
                <w:rFonts w:ascii="Times New Roman" w:hAnsi="Times New Roman"/>
                <w:sz w:val="17"/>
              </w:rPr>
              <w:t>32.0</w:t>
            </w:r>
          </w:p>
        </w:tc>
        <w:tc>
          <w:tcPr>
            <w:tcW w:type="dxa" w:w="1195"/>
            <w:vAlign w:val="top"/>
            <w:tcMar>
              <w:top w:w="60" w:type="dxa"/>
              <w:start w:w="90" w:type="dxa"/>
              <w:bottom w:w="60" w:type="dxa"/>
              <w:end w:w="90" w:type="dxa"/>
            </w:tcMar>
          </w:tcPr>
          <w:p>
            <w:pPr>
              <w:keepLines/>
              <w:spacing w:after="0"/>
            </w:pPr>
            <w:r/>
            <w:r>
              <w:rPr>
                <w:rFonts w:ascii="Times New Roman" w:hAnsi="Times New Roman"/>
                <w:sz w:val="17"/>
              </w:rPr>
              <w:t>31.0</w:t>
            </w:r>
          </w:p>
        </w:tc>
        <w:tc>
          <w:tcPr>
            <w:tcW w:type="dxa" w:w="1195"/>
            <w:vAlign w:val="top"/>
            <w:tcMar>
              <w:top w:w="60" w:type="dxa"/>
              <w:start w:w="90" w:type="dxa"/>
              <w:bottom w:w="60" w:type="dxa"/>
              <w:end w:w="90" w:type="dxa"/>
            </w:tcMar>
          </w:tcPr>
          <w:p>
            <w:pPr>
              <w:keepLines/>
              <w:spacing w:after="0"/>
            </w:pPr>
            <w:r/>
            <w:r>
              <w:rPr>
                <w:rFonts w:ascii="Times New Roman" w:hAnsi="Times New Roman"/>
                <w:sz w:val="17"/>
              </w:rPr>
              <w:t>31.5</w:t>
            </w:r>
          </w:p>
        </w:tc>
        <w:tc>
          <w:tcPr>
            <w:tcW w:type="dxa" w:w="1195"/>
            <w:vAlign w:val="top"/>
            <w:tcMar>
              <w:top w:w="60" w:type="dxa"/>
              <w:start w:w="90" w:type="dxa"/>
              <w:bottom w:w="60" w:type="dxa"/>
              <w:end w:w="90" w:type="dxa"/>
            </w:tcMar>
          </w:tcPr>
          <w:p>
            <w:pPr>
              <w:keepLines/>
              <w:spacing w:after="0"/>
            </w:pPr>
            <w:r/>
            <w:r>
              <w:rPr>
                <w:rFonts w:ascii="Times New Roman" w:hAnsi="Times New Roman"/>
                <w:sz w:val="17"/>
              </w:rPr>
              <w:t>1.0</w:t>
            </w:r>
          </w:p>
        </w:tc>
        <w:tc>
          <w:tcPr>
            <w:tcW w:type="dxa" w:w="2279"/>
            <w:vAlign w:val="top"/>
            <w:tcMar>
              <w:top w:w="60" w:type="dxa"/>
              <w:start w:w="90" w:type="dxa"/>
              <w:bottom w:w="60" w:type="dxa"/>
              <w:end w:w="90" w:type="dxa"/>
            </w:tcMar>
          </w:tcPr>
          <w:p>
            <w:pPr>
              <w:keepLines/>
              <w:spacing w:after="0"/>
            </w:pPr>
            <w:r/>
            <w:r>
              <w:rPr>
                <w:rFonts w:ascii="Times New Roman" w:hAnsi="Times New Roman"/>
                <w:sz w:val="17"/>
              </w:rPr>
              <w:t>Tiefe des Use-Case-Lebenszyklus</w:t>
            </w:r>
          </w:p>
        </w:tc>
      </w:tr>
      <w:tr>
        <w:trPr>
          <w:cantSplit/>
        </w:trPr>
        <w:tc>
          <w:tcPr>
            <w:tcW w:type="dxa" w:w="2011"/>
            <w:vAlign w:val="top"/>
            <w:tcMar>
              <w:top w:w="60" w:type="dxa"/>
              <w:start w:w="90" w:type="dxa"/>
              <w:bottom w:w="60" w:type="dxa"/>
              <w:end w:w="90" w:type="dxa"/>
            </w:tcMar>
            <w:shd w:fill="F1F3F3"/>
          </w:tcPr>
          <w:p>
            <w:pPr>
              <w:keepLines/>
              <w:spacing w:after="0"/>
            </w:pPr>
            <w:r/>
            <w:r>
              <w:rPr>
                <w:rFonts w:ascii="Times New Roman" w:hAnsi="Times New Roman"/>
                <w:sz w:val="17"/>
              </w:rPr>
              <w:t>ProtectIT SE</w:t>
            </w:r>
          </w:p>
        </w:tc>
        <w:tc>
          <w:tcPr>
            <w:tcW w:type="dxa" w:w="1195"/>
            <w:vAlign w:val="top"/>
            <w:tcMar>
              <w:top w:w="60" w:type="dxa"/>
              <w:start w:w="90" w:type="dxa"/>
              <w:bottom w:w="60" w:type="dxa"/>
              <w:end w:w="90" w:type="dxa"/>
            </w:tcMar>
            <w:shd w:fill="F1F3F3"/>
          </w:tcPr>
          <w:p>
            <w:pPr>
              <w:keepLines/>
              <w:spacing w:after="0"/>
            </w:pPr>
            <w:r/>
            <w:r>
              <w:rPr>
                <w:rFonts w:ascii="Times New Roman" w:hAnsi="Times New Roman"/>
                <w:sz w:val="17"/>
              </w:rPr>
              <w:t>29.5</w:t>
            </w:r>
          </w:p>
        </w:tc>
        <w:tc>
          <w:tcPr>
            <w:tcW w:type="dxa" w:w="1195"/>
            <w:vAlign w:val="top"/>
            <w:tcMar>
              <w:top w:w="60" w:type="dxa"/>
              <w:start w:w="90" w:type="dxa"/>
              <w:bottom w:w="60" w:type="dxa"/>
              <w:end w:w="90" w:type="dxa"/>
            </w:tcMar>
            <w:shd w:fill="F1F3F3"/>
          </w:tcPr>
          <w:p>
            <w:pPr>
              <w:keepLines/>
              <w:spacing w:after="0"/>
            </w:pPr>
            <w:r/>
            <w:r>
              <w:rPr>
                <w:rFonts w:ascii="Times New Roman" w:hAnsi="Times New Roman"/>
                <w:sz w:val="17"/>
              </w:rPr>
              <w:t>28.5</w:t>
            </w:r>
          </w:p>
        </w:tc>
        <w:tc>
          <w:tcPr>
            <w:tcW w:type="dxa" w:w="1195"/>
            <w:vAlign w:val="top"/>
            <w:tcMar>
              <w:top w:w="60" w:type="dxa"/>
              <w:start w:w="90" w:type="dxa"/>
              <w:bottom w:w="60" w:type="dxa"/>
              <w:end w:w="90" w:type="dxa"/>
            </w:tcMar>
            <w:shd w:fill="F1F3F3"/>
          </w:tcPr>
          <w:p>
            <w:pPr>
              <w:keepLines/>
              <w:spacing w:after="0"/>
            </w:pPr>
            <w:r/>
            <w:r>
              <w:rPr>
                <w:rFonts w:ascii="Times New Roman" w:hAnsi="Times New Roman"/>
                <w:sz w:val="17"/>
              </w:rPr>
              <w:t>29.0</w:t>
            </w:r>
          </w:p>
        </w:tc>
        <w:tc>
          <w:tcPr>
            <w:tcW w:type="dxa" w:w="1195"/>
            <w:vAlign w:val="top"/>
            <w:tcMar>
              <w:top w:w="60" w:type="dxa"/>
              <w:start w:w="90" w:type="dxa"/>
              <w:bottom w:w="60" w:type="dxa"/>
              <w:end w:w="90" w:type="dxa"/>
            </w:tcMar>
            <w:shd w:fill="F1F3F3"/>
          </w:tcPr>
          <w:p>
            <w:pPr>
              <w:keepLines/>
              <w:spacing w:after="0"/>
            </w:pPr>
            <w:r/>
            <w:r>
              <w:rPr>
                <w:rFonts w:ascii="Times New Roman" w:hAnsi="Times New Roman"/>
                <w:sz w:val="17"/>
              </w:rPr>
              <w:t>1.0</w:t>
            </w:r>
          </w:p>
        </w:tc>
        <w:tc>
          <w:tcPr>
            <w:tcW w:type="dxa" w:w="2279"/>
            <w:vAlign w:val="top"/>
            <w:tcMar>
              <w:top w:w="60" w:type="dxa"/>
              <w:start w:w="90" w:type="dxa"/>
              <w:bottom w:w="60" w:type="dxa"/>
              <w:end w:w="90" w:type="dxa"/>
            </w:tcMar>
            <w:shd w:fill="F1F3F3"/>
          </w:tcPr>
          <w:p>
            <w:pPr>
              <w:keepLines/>
              <w:spacing w:after="0"/>
            </w:pPr>
            <w:r/>
            <w:r>
              <w:rPr>
                <w:rFonts w:ascii="Times New Roman" w:hAnsi="Times New Roman"/>
                <w:sz w:val="17"/>
              </w:rPr>
              <w:t>Trennung Standard- und Kunden-Runbooks</w:t>
            </w:r>
          </w:p>
        </w:tc>
      </w:tr>
      <w:tr>
        <w:trPr>
          <w:cantSplit/>
        </w:trPr>
        <w:tc>
          <w:tcPr>
            <w:tcW w:type="dxa" w:w="2011"/>
            <w:vAlign w:val="top"/>
            <w:tcMar>
              <w:top w:w="60" w:type="dxa"/>
              <w:start w:w="90" w:type="dxa"/>
              <w:bottom w:w="60" w:type="dxa"/>
              <w:end w:w="90" w:type="dxa"/>
            </w:tcMar>
          </w:tcPr>
          <w:p>
            <w:pPr>
              <w:keepLines/>
              <w:spacing w:after="0"/>
            </w:pPr>
            <w:r/>
            <w:r>
              <w:rPr>
                <w:rFonts w:ascii="Times New Roman" w:hAnsi="Times New Roman"/>
                <w:sz w:val="17"/>
              </w:rPr>
              <w:t>NSI Northern Security Industries GmbH</w:t>
            </w:r>
          </w:p>
        </w:tc>
        <w:tc>
          <w:tcPr>
            <w:tcW w:type="dxa" w:w="1195"/>
            <w:vAlign w:val="top"/>
            <w:tcMar>
              <w:top w:w="60" w:type="dxa"/>
              <w:start w:w="90" w:type="dxa"/>
              <w:bottom w:w="60" w:type="dxa"/>
              <w:end w:w="90" w:type="dxa"/>
            </w:tcMar>
          </w:tcPr>
          <w:p>
            <w:pPr>
              <w:keepLines/>
              <w:spacing w:after="0"/>
            </w:pPr>
            <w:r/>
            <w:r>
              <w:rPr>
                <w:rFonts w:ascii="Times New Roman" w:hAnsi="Times New Roman"/>
                <w:sz w:val="17"/>
              </w:rPr>
              <w:t>28.0</w:t>
            </w:r>
          </w:p>
        </w:tc>
        <w:tc>
          <w:tcPr>
            <w:tcW w:type="dxa" w:w="1195"/>
            <w:vAlign w:val="top"/>
            <w:tcMar>
              <w:top w:w="60" w:type="dxa"/>
              <w:start w:w="90" w:type="dxa"/>
              <w:bottom w:w="60" w:type="dxa"/>
              <w:end w:w="90" w:type="dxa"/>
            </w:tcMar>
          </w:tcPr>
          <w:p>
            <w:pPr>
              <w:keepLines/>
              <w:spacing w:after="0"/>
            </w:pPr>
            <w:r/>
            <w:r>
              <w:rPr>
                <w:rFonts w:ascii="Times New Roman" w:hAnsi="Times New Roman"/>
                <w:sz w:val="17"/>
              </w:rPr>
              <w:t>29.0</w:t>
            </w:r>
          </w:p>
        </w:tc>
        <w:tc>
          <w:tcPr>
            <w:tcW w:type="dxa" w:w="1195"/>
            <w:vAlign w:val="top"/>
            <w:tcMar>
              <w:top w:w="60" w:type="dxa"/>
              <w:start w:w="90" w:type="dxa"/>
              <w:bottom w:w="60" w:type="dxa"/>
              <w:end w:w="90" w:type="dxa"/>
            </w:tcMar>
          </w:tcPr>
          <w:p>
            <w:pPr>
              <w:keepLines/>
              <w:spacing w:after="0"/>
            </w:pPr>
            <w:r/>
            <w:r>
              <w:rPr>
                <w:rFonts w:ascii="Times New Roman" w:hAnsi="Times New Roman"/>
                <w:sz w:val="17"/>
              </w:rPr>
              <w:t>28.5</w:t>
            </w:r>
          </w:p>
        </w:tc>
        <w:tc>
          <w:tcPr>
            <w:tcW w:type="dxa" w:w="1195"/>
            <w:vAlign w:val="top"/>
            <w:tcMar>
              <w:top w:w="60" w:type="dxa"/>
              <w:start w:w="90" w:type="dxa"/>
              <w:bottom w:w="60" w:type="dxa"/>
              <w:end w:w="90" w:type="dxa"/>
            </w:tcMar>
          </w:tcPr>
          <w:p>
            <w:pPr>
              <w:keepLines/>
              <w:spacing w:after="0"/>
            </w:pPr>
            <w:r/>
            <w:r>
              <w:rPr>
                <w:rFonts w:ascii="Times New Roman" w:hAnsi="Times New Roman"/>
                <w:sz w:val="17"/>
              </w:rPr>
              <w:t>1.0</w:t>
            </w:r>
          </w:p>
        </w:tc>
        <w:tc>
          <w:tcPr>
            <w:tcW w:type="dxa" w:w="2279"/>
            <w:vAlign w:val="top"/>
            <w:tcMar>
              <w:top w:w="60" w:type="dxa"/>
              <w:start w:w="90" w:type="dxa"/>
              <w:bottom w:w="60" w:type="dxa"/>
              <w:end w:w="90" w:type="dxa"/>
            </w:tcMar>
          </w:tcPr>
          <w:p>
            <w:pPr>
              <w:keepLines/>
              <w:spacing w:after="0"/>
            </w:pPr>
            <w:r/>
            <w:r>
              <w:rPr>
                <w:rFonts w:ascii="Times New Roman" w:hAnsi="Times New Roman"/>
                <w:sz w:val="17"/>
              </w:rPr>
              <w:t>personelle Absicherung der Nachtbereitschaft</w:t>
            </w:r>
          </w:p>
        </w:tc>
      </w:tr>
    </w:tbl>
    <w:p>
      <w:pPr>
        <w:spacing w:after="0" w:before="40"/>
      </w:pPr>
    </w:p>
    <w:p>
      <w:pPr>
        <w:keepNext/>
        <w:keepLines/>
      </w:pPr>
      <w:r>
        <w:t>Bei CyberShield bewertete Dr. Mertens die vierteljährliche Use-Case-Revision zunächst mit der Höchststufe. Robert Ahrens wies darauf hin, dass die angebotene Rückkopplung mit dem Nahverkehr nur halbjährlich verbindlich zugesagt war. Der Konsenswert berücksichtigt die stärkere technische Ausgestaltung, aber nicht eine nicht zugesagte vierteljährliche Kundenfreigabe.</w:t>
      </w:r>
    </w:p>
    <w:p>
      <w:pPr>
        <w:pStyle w:val="Heading1"/>
        <w:keepNext/>
        <w:keepLines/>
      </w:pPr>
      <w:r>
        <w:t>3. Einzelwertung Reaktionszeiten</w:t>
      </w:r>
    </w:p>
    <w:tbl>
      <w:tblPr>
        <w:tblStyle w:val="TableGrid"/>
        <w:tblW w:type="dxa" w:w="9071"/>
        <w:jc w:val="left"/>
        <w:tblLayout w:type="fixed"/>
        <w:tblLook w:firstColumn="1" w:firstRow="1" w:lastColumn="0" w:lastRow="0" w:noHBand="0" w:noVBand="1" w:val="04A0"/>
      </w:tblPr>
      <w:tblGrid>
        <w:gridCol w:w="1689"/>
        <w:gridCol w:w="2049"/>
        <w:gridCol w:w="1922"/>
        <w:gridCol w:w="1922"/>
        <w:gridCol w:w="1489"/>
      </w:tblGrid>
      <w:tr>
        <w:trPr>
          <w:tblHeader w:val="true"/>
          <w:cantSplit/>
        </w:trPr>
        <w:tc>
          <w:tcPr>
            <w:tcW w:type="dxa" w:w="1689"/>
            <w:vAlign w:val="top"/>
            <w:tcMar>
              <w:top w:w="60" w:type="dxa"/>
              <w:start w:w="90" w:type="dxa"/>
              <w:bottom w:w="60" w:type="dxa"/>
              <w:end w:w="90" w:type="dxa"/>
            </w:tcMar>
            <w:shd w:fill="01696F"/>
          </w:tcPr>
          <w:p>
            <w:pPr>
              <w:keepLines/>
              <w:spacing w:after="0"/>
            </w:pPr>
            <w:r/>
            <w:r>
              <w:rPr>
                <w:rFonts w:ascii="Times New Roman" w:hAnsi="Times New Roman"/>
                <w:b/>
                <w:color w:val="FFFFFF"/>
                <w:sz w:val="17"/>
              </w:rPr>
              <w:t>Bieter</w:t>
            </w:r>
          </w:p>
        </w:tc>
        <w:tc>
          <w:tcPr>
            <w:tcW w:type="dxa" w:w="2049"/>
            <w:vAlign w:val="top"/>
            <w:tcMar>
              <w:top w:w="60" w:type="dxa"/>
              <w:start w:w="90" w:type="dxa"/>
              <w:bottom w:w="60" w:type="dxa"/>
              <w:end w:w="90" w:type="dxa"/>
            </w:tcMar>
            <w:shd w:fill="01696F"/>
          </w:tcPr>
          <w:p>
            <w:pPr>
              <w:keepLines/>
              <w:spacing w:after="0"/>
            </w:pPr>
            <w:r/>
            <w:r>
              <w:rPr>
                <w:rFonts w:ascii="Times New Roman" w:hAnsi="Times New Roman"/>
                <w:b/>
                <w:color w:val="FFFFFF"/>
                <w:sz w:val="17"/>
              </w:rPr>
              <w:t>fristgebundene Priorität-1-Zusage</w:t>
            </w:r>
          </w:p>
        </w:tc>
        <w:tc>
          <w:tcPr>
            <w:tcW w:type="dxa" w:w="1922"/>
            <w:vAlign w:val="top"/>
            <w:tcMar>
              <w:top w:w="60" w:type="dxa"/>
              <w:start w:w="90" w:type="dxa"/>
              <w:bottom w:w="60" w:type="dxa"/>
              <w:end w:w="90" w:type="dxa"/>
            </w:tcMar>
            <w:shd w:fill="01696F"/>
          </w:tcPr>
          <w:p>
            <w:pPr>
              <w:keepLines/>
              <w:spacing w:after="0"/>
            </w:pPr>
            <w:r/>
            <w:r>
              <w:rPr>
                <w:rFonts w:ascii="Times New Roman" w:hAnsi="Times New Roman"/>
                <w:b/>
                <w:color w:val="FFFFFF"/>
                <w:sz w:val="17"/>
              </w:rPr>
              <w:t>Vertretung</w:t>
            </w:r>
          </w:p>
        </w:tc>
        <w:tc>
          <w:tcPr>
            <w:tcW w:type="dxa" w:w="1922"/>
            <w:vAlign w:val="top"/>
            <w:tcMar>
              <w:top w:w="60" w:type="dxa"/>
              <w:start w:w="90" w:type="dxa"/>
              <w:bottom w:w="60" w:type="dxa"/>
              <w:end w:w="90" w:type="dxa"/>
            </w:tcMar>
            <w:shd w:fill="01696F"/>
          </w:tcPr>
          <w:p>
            <w:pPr>
              <w:keepLines/>
              <w:spacing w:after="0"/>
            </w:pPr>
            <w:r/>
            <w:r>
              <w:rPr>
                <w:rFonts w:ascii="Times New Roman" w:hAnsi="Times New Roman"/>
                <w:b/>
                <w:color w:val="FFFFFF"/>
                <w:sz w:val="17"/>
              </w:rPr>
              <w:t>Vor-Ort-Kette</w:t>
            </w:r>
          </w:p>
        </w:tc>
        <w:tc>
          <w:tcPr>
            <w:tcW w:type="dxa" w:w="1489"/>
            <w:vAlign w:val="top"/>
            <w:tcMar>
              <w:top w:w="60" w:type="dxa"/>
              <w:start w:w="90" w:type="dxa"/>
              <w:bottom w:w="60" w:type="dxa"/>
              <w:end w:w="90" w:type="dxa"/>
            </w:tcMar>
            <w:shd w:fill="01696F"/>
          </w:tcPr>
          <w:p>
            <w:pPr>
              <w:keepLines/>
              <w:spacing w:after="0"/>
            </w:pPr>
            <w:r/>
            <w:r>
              <w:rPr>
                <w:rFonts w:ascii="Times New Roman" w:hAnsi="Times New Roman"/>
                <w:b/>
                <w:color w:val="FFFFFF"/>
                <w:sz w:val="17"/>
              </w:rPr>
              <w:t>Konsenspunkte</w:t>
            </w:r>
          </w:p>
        </w:tc>
      </w:tr>
      <w:tr>
        <w:trPr>
          <w:cantSplit/>
        </w:trPr>
        <w:tc>
          <w:tcPr>
            <w:tcW w:type="dxa" w:w="1689"/>
            <w:vAlign w:val="top"/>
            <w:tcMar>
              <w:top w:w="60" w:type="dxa"/>
              <w:start w:w="90" w:type="dxa"/>
              <w:bottom w:w="60" w:type="dxa"/>
              <w:end w:w="90" w:type="dxa"/>
            </w:tcMar>
          </w:tcPr>
          <w:p>
            <w:pPr>
              <w:keepLines/>
              <w:spacing w:after="0"/>
            </w:pPr>
            <w:r/>
            <w:r>
              <w:rPr>
                <w:rFonts w:ascii="Times New Roman" w:hAnsi="Times New Roman"/>
                <w:sz w:val="17"/>
              </w:rPr>
              <w:t>CyberShield Defense GmbH</w:t>
            </w:r>
          </w:p>
        </w:tc>
        <w:tc>
          <w:tcPr>
            <w:tcW w:type="dxa" w:w="2049"/>
            <w:vAlign w:val="top"/>
            <w:tcMar>
              <w:top w:w="60" w:type="dxa"/>
              <w:start w:w="90" w:type="dxa"/>
              <w:bottom w:w="60" w:type="dxa"/>
              <w:end w:w="90" w:type="dxa"/>
            </w:tcMar>
          </w:tcPr>
          <w:p>
            <w:pPr>
              <w:keepLines/>
              <w:spacing w:after="0"/>
            </w:pPr>
            <w:r/>
            <w:r>
              <w:rPr>
                <w:rFonts w:ascii="Times New Roman" w:hAnsi="Times New Roman"/>
                <w:sz w:val="17"/>
              </w:rPr>
              <w:t>15 Minuten ab SIEM-Alarm oder Kundenmeldung</w:t>
            </w:r>
          </w:p>
        </w:tc>
        <w:tc>
          <w:tcPr>
            <w:tcW w:type="dxa" w:w="1922"/>
            <w:vAlign w:val="top"/>
            <w:tcMar>
              <w:top w:w="60" w:type="dxa"/>
              <w:start w:w="90" w:type="dxa"/>
              <w:bottom w:w="60" w:type="dxa"/>
              <w:end w:w="90" w:type="dxa"/>
            </w:tcMar>
          </w:tcPr>
          <w:p>
            <w:pPr>
              <w:keepLines/>
              <w:spacing w:after="0"/>
            </w:pPr>
            <w:r/>
            <w:r>
              <w:rPr>
                <w:rFonts w:ascii="Times New Roman" w:hAnsi="Times New Roman"/>
                <w:sz w:val="17"/>
              </w:rPr>
              <w:t>zwei benannte Schichten und Rufbereitschaft</w:t>
            </w:r>
          </w:p>
        </w:tc>
        <w:tc>
          <w:tcPr>
            <w:tcW w:type="dxa" w:w="1922"/>
            <w:vAlign w:val="top"/>
            <w:tcMar>
              <w:top w:w="60" w:type="dxa"/>
              <w:start w:w="90" w:type="dxa"/>
              <w:bottom w:w="60" w:type="dxa"/>
              <w:end w:w="90" w:type="dxa"/>
            </w:tcMar>
          </w:tcPr>
          <w:p>
            <w:pPr>
              <w:keepLines/>
              <w:spacing w:after="0"/>
            </w:pPr>
            <w:r/>
            <w:r>
              <w:rPr>
                <w:rFonts w:ascii="Times New Roman" w:hAnsi="Times New Roman"/>
                <w:sz w:val="17"/>
              </w:rPr>
              <w:t>120 Minuten mit benanntem Standortteam</w:t>
            </w:r>
          </w:p>
        </w:tc>
        <w:tc>
          <w:tcPr>
            <w:tcW w:type="dxa" w:w="1489"/>
            <w:vAlign w:val="top"/>
            <w:tcMar>
              <w:top w:w="60" w:type="dxa"/>
              <w:start w:w="90" w:type="dxa"/>
              <w:bottom w:w="60" w:type="dxa"/>
              <w:end w:w="90" w:type="dxa"/>
            </w:tcMar>
          </w:tcPr>
          <w:p>
            <w:pPr>
              <w:keepLines/>
              <w:spacing w:after="0"/>
            </w:pPr>
            <w:r/>
            <w:r>
              <w:rPr>
                <w:rFonts w:ascii="Times New Roman" w:hAnsi="Times New Roman"/>
                <w:sz w:val="17"/>
              </w:rPr>
              <w:t>15.0</w:t>
            </w:r>
          </w:p>
        </w:tc>
      </w:tr>
      <w:tr>
        <w:trPr>
          <w:cantSplit/>
        </w:trPr>
        <w:tc>
          <w:tcPr>
            <w:tcW w:type="dxa" w:w="1689"/>
            <w:vAlign w:val="top"/>
            <w:tcMar>
              <w:top w:w="60" w:type="dxa"/>
              <w:start w:w="90" w:type="dxa"/>
              <w:bottom w:w="60" w:type="dxa"/>
              <w:end w:w="90" w:type="dxa"/>
            </w:tcMar>
            <w:shd w:fill="F1F3F3"/>
          </w:tcPr>
          <w:p>
            <w:pPr>
              <w:keepLines/>
              <w:spacing w:after="0"/>
            </w:pPr>
            <w:r/>
            <w:r>
              <w:rPr>
                <w:rFonts w:ascii="Times New Roman" w:hAnsi="Times New Roman"/>
                <w:sz w:val="17"/>
              </w:rPr>
              <w:t>ProtectIT SE</w:t>
            </w:r>
          </w:p>
        </w:tc>
        <w:tc>
          <w:tcPr>
            <w:tcW w:type="dxa" w:w="2049"/>
            <w:vAlign w:val="top"/>
            <w:tcMar>
              <w:top w:w="60" w:type="dxa"/>
              <w:start w:w="90" w:type="dxa"/>
              <w:bottom w:w="60" w:type="dxa"/>
              <w:end w:w="90" w:type="dxa"/>
            </w:tcMar>
            <w:shd w:fill="F1F3F3"/>
          </w:tcPr>
          <w:p>
            <w:pPr>
              <w:keepLines/>
              <w:spacing w:after="0"/>
            </w:pPr>
            <w:r/>
            <w:r>
              <w:rPr>
                <w:rFonts w:ascii="Times New Roman" w:hAnsi="Times New Roman"/>
                <w:sz w:val="17"/>
              </w:rPr>
              <w:t>45 Minuten ab qualifiziertem Ticket</w:t>
            </w:r>
          </w:p>
        </w:tc>
        <w:tc>
          <w:tcPr>
            <w:tcW w:type="dxa" w:w="1922"/>
            <w:vAlign w:val="top"/>
            <w:tcMar>
              <w:top w:w="60" w:type="dxa"/>
              <w:start w:w="90" w:type="dxa"/>
              <w:bottom w:w="60" w:type="dxa"/>
              <w:end w:w="90" w:type="dxa"/>
            </w:tcMar>
            <w:shd w:fill="F1F3F3"/>
          </w:tcPr>
          <w:p>
            <w:pPr>
              <w:keepLines/>
              <w:spacing w:after="0"/>
            </w:pPr>
            <w:r/>
            <w:r>
              <w:rPr>
                <w:rFonts w:ascii="Times New Roman" w:hAnsi="Times New Roman"/>
                <w:sz w:val="17"/>
              </w:rPr>
              <w:t>Vertreterrolle benannt</w:t>
            </w:r>
          </w:p>
        </w:tc>
        <w:tc>
          <w:tcPr>
            <w:tcW w:type="dxa" w:w="1922"/>
            <w:vAlign w:val="top"/>
            <w:tcMar>
              <w:top w:w="60" w:type="dxa"/>
              <w:start w:w="90" w:type="dxa"/>
              <w:bottom w:w="60" w:type="dxa"/>
              <w:end w:w="90" w:type="dxa"/>
            </w:tcMar>
            <w:shd w:fill="F1F3F3"/>
          </w:tcPr>
          <w:p>
            <w:pPr>
              <w:keepLines/>
              <w:spacing w:after="0"/>
            </w:pPr>
            <w:r/>
            <w:r>
              <w:rPr>
                <w:rFonts w:ascii="Times New Roman" w:hAnsi="Times New Roman"/>
                <w:sz w:val="17"/>
              </w:rPr>
              <w:t>keine verbindliche Frist im Originalangebot</w:t>
            </w:r>
          </w:p>
        </w:tc>
        <w:tc>
          <w:tcPr>
            <w:tcW w:type="dxa" w:w="1489"/>
            <w:vAlign w:val="top"/>
            <w:tcMar>
              <w:top w:w="60" w:type="dxa"/>
              <w:start w:w="90" w:type="dxa"/>
              <w:bottom w:w="60" w:type="dxa"/>
              <w:end w:w="90" w:type="dxa"/>
            </w:tcMar>
            <w:shd w:fill="F1F3F3"/>
          </w:tcPr>
          <w:p>
            <w:pPr>
              <w:keepLines/>
              <w:spacing w:after="0"/>
            </w:pPr>
            <w:r/>
            <w:r>
              <w:rPr>
                <w:rFonts w:ascii="Times New Roman" w:hAnsi="Times New Roman"/>
                <w:sz w:val="17"/>
              </w:rPr>
              <w:t>11.0</w:t>
            </w:r>
          </w:p>
        </w:tc>
      </w:tr>
      <w:tr>
        <w:trPr>
          <w:cantSplit/>
        </w:trPr>
        <w:tc>
          <w:tcPr>
            <w:tcW w:type="dxa" w:w="1689"/>
            <w:vAlign w:val="top"/>
            <w:tcMar>
              <w:top w:w="60" w:type="dxa"/>
              <w:start w:w="90" w:type="dxa"/>
              <w:bottom w:w="60" w:type="dxa"/>
              <w:end w:w="90" w:type="dxa"/>
            </w:tcMar>
          </w:tcPr>
          <w:p>
            <w:pPr>
              <w:keepLines/>
              <w:spacing w:after="0"/>
            </w:pPr>
            <w:r/>
            <w:r>
              <w:rPr>
                <w:rFonts w:ascii="Times New Roman" w:hAnsi="Times New Roman"/>
                <w:sz w:val="17"/>
              </w:rPr>
              <w:t>NSI Northern Security Industries GmbH</w:t>
            </w:r>
          </w:p>
        </w:tc>
        <w:tc>
          <w:tcPr>
            <w:tcW w:type="dxa" w:w="2049"/>
            <w:vAlign w:val="top"/>
            <w:tcMar>
              <w:top w:w="60" w:type="dxa"/>
              <w:start w:w="90" w:type="dxa"/>
              <w:bottom w:w="60" w:type="dxa"/>
              <w:end w:w="90" w:type="dxa"/>
            </w:tcMar>
          </w:tcPr>
          <w:p>
            <w:pPr>
              <w:keepLines/>
              <w:spacing w:after="0"/>
            </w:pPr>
            <w:r/>
            <w:r>
              <w:rPr>
                <w:rFonts w:ascii="Times New Roman" w:hAnsi="Times New Roman"/>
                <w:sz w:val="17"/>
              </w:rPr>
              <w:t>20 Minuten ab bestätigtem Alarm</w:t>
            </w:r>
          </w:p>
        </w:tc>
        <w:tc>
          <w:tcPr>
            <w:tcW w:type="dxa" w:w="1922"/>
            <w:vAlign w:val="top"/>
            <w:tcMar>
              <w:top w:w="60" w:type="dxa"/>
              <w:start w:w="90" w:type="dxa"/>
              <w:bottom w:w="60" w:type="dxa"/>
              <w:end w:w="90" w:type="dxa"/>
            </w:tcMar>
          </w:tcPr>
          <w:p>
            <w:pPr>
              <w:keepLines/>
              <w:spacing w:after="0"/>
            </w:pPr>
            <w:r/>
            <w:r>
              <w:rPr>
                <w:rFonts w:ascii="Times New Roman" w:hAnsi="Times New Roman"/>
                <w:sz w:val="17"/>
              </w:rPr>
              <w:t>zweite Rufbereitschaft benannt</w:t>
            </w:r>
          </w:p>
        </w:tc>
        <w:tc>
          <w:tcPr>
            <w:tcW w:type="dxa" w:w="1922"/>
            <w:vAlign w:val="top"/>
            <w:tcMar>
              <w:top w:w="60" w:type="dxa"/>
              <w:start w:w="90" w:type="dxa"/>
              <w:bottom w:w="60" w:type="dxa"/>
              <w:end w:w="90" w:type="dxa"/>
            </w:tcMar>
          </w:tcPr>
          <w:p>
            <w:pPr>
              <w:keepLines/>
              <w:spacing w:after="0"/>
            </w:pPr>
            <w:r/>
            <w:r>
              <w:rPr>
                <w:rFonts w:ascii="Times New Roman" w:hAnsi="Times New Roman"/>
                <w:sz w:val="17"/>
              </w:rPr>
              <w:t>180 Minuten verbindlich</w:t>
            </w:r>
          </w:p>
        </w:tc>
        <w:tc>
          <w:tcPr>
            <w:tcW w:type="dxa" w:w="1489"/>
            <w:vAlign w:val="top"/>
            <w:tcMar>
              <w:top w:w="60" w:type="dxa"/>
              <w:start w:w="90" w:type="dxa"/>
              <w:bottom w:w="60" w:type="dxa"/>
              <w:end w:w="90" w:type="dxa"/>
            </w:tcMar>
          </w:tcPr>
          <w:p>
            <w:pPr>
              <w:keepLines/>
              <w:spacing w:after="0"/>
            </w:pPr>
            <w:r/>
            <w:r>
              <w:rPr>
                <w:rFonts w:ascii="Times New Roman" w:hAnsi="Times New Roman"/>
                <w:sz w:val="17"/>
              </w:rPr>
              <w:t>13.0</w:t>
            </w:r>
          </w:p>
        </w:tc>
      </w:tr>
    </w:tbl>
    <w:p>
      <w:pPr>
        <w:spacing w:after="0" w:before="40"/>
      </w:pPr>
    </w:p>
    <w:p>
      <w:pPr>
        <w:keepNext/>
        <w:keepLines/>
      </w:pPr>
      <w:r>
        <w:t>Die spätere 15-Minuten-Zusage von ProtectIT, die ergänzte Rufkette und die Vor-Ort-Frist wurden nicht berücksichtigt. Der Abzug beruht nicht darauf, dass 45 Minuten schlechthin unzureichend wären, sondern auf dem veröffentlichten Vergleich der verbindlichen Reaktions- und Eskalationsketten.</w:t>
      </w:r>
    </w:p>
    <w:p>
      <w:pPr>
        <w:pStyle w:val="Heading1"/>
        <w:keepNext/>
        <w:keepLines/>
      </w:pPr>
      <w:r>
        <w:t>4. Konsensbrücken</w:t>
      </w:r>
    </w:p>
    <w:tbl>
      <w:tblPr>
        <w:tblStyle w:val="TableGrid"/>
        <w:tblW w:type="dxa" w:w="9071"/>
        <w:jc w:val="left"/>
        <w:tblLayout w:type="fixed"/>
        <w:tblLook w:firstColumn="1" w:firstRow="1" w:lastColumn="0" w:lastRow="0" w:noHBand="0" w:noVBand="1" w:val="04A0"/>
      </w:tblPr>
      <w:tblGrid>
        <w:gridCol w:w="1963"/>
        <w:gridCol w:w="1908"/>
        <w:gridCol w:w="1946"/>
        <w:gridCol w:w="1925"/>
        <w:gridCol w:w="1329"/>
      </w:tblGrid>
      <w:tr>
        <w:trPr>
          <w:tblHeader w:val="true"/>
          <w:cantSplit/>
        </w:trPr>
        <w:tc>
          <w:tcPr>
            <w:tcW w:type="dxa" w:w="1963"/>
            <w:vAlign w:val="top"/>
            <w:tcMar>
              <w:top w:w="60" w:type="dxa"/>
              <w:start w:w="90" w:type="dxa"/>
              <w:bottom w:w="60" w:type="dxa"/>
              <w:end w:w="90" w:type="dxa"/>
            </w:tcMar>
            <w:shd w:fill="01696F"/>
          </w:tcPr>
          <w:p>
            <w:pPr>
              <w:keepLines/>
              <w:spacing w:after="0"/>
            </w:pPr>
            <w:r/>
            <w:r>
              <w:rPr>
                <w:rFonts w:ascii="Times New Roman" w:hAnsi="Times New Roman"/>
                <w:b/>
                <w:color w:val="FFFFFF"/>
                <w:sz w:val="17"/>
              </w:rPr>
              <w:t>Kriterium</w:t>
            </w:r>
          </w:p>
        </w:tc>
        <w:tc>
          <w:tcPr>
            <w:tcW w:type="dxa" w:w="1908"/>
            <w:vAlign w:val="top"/>
            <w:tcMar>
              <w:top w:w="60" w:type="dxa"/>
              <w:start w:w="90" w:type="dxa"/>
              <w:bottom w:w="60" w:type="dxa"/>
              <w:end w:w="90" w:type="dxa"/>
            </w:tcMar>
            <w:shd w:fill="01696F"/>
          </w:tcPr>
          <w:p>
            <w:pPr>
              <w:keepLines/>
              <w:spacing w:after="0"/>
            </w:pPr>
            <w:r/>
            <w:r>
              <w:rPr>
                <w:rFonts w:ascii="Times New Roman" w:hAnsi="Times New Roman"/>
                <w:b/>
                <w:color w:val="FFFFFF"/>
                <w:sz w:val="17"/>
              </w:rPr>
              <w:t>Angebotsfundstelle</w:t>
            </w:r>
          </w:p>
        </w:tc>
        <w:tc>
          <w:tcPr>
            <w:tcW w:type="dxa" w:w="1946"/>
            <w:vAlign w:val="top"/>
            <w:tcMar>
              <w:top w:w="60" w:type="dxa"/>
              <w:start w:w="90" w:type="dxa"/>
              <w:bottom w:w="60" w:type="dxa"/>
              <w:end w:w="90" w:type="dxa"/>
            </w:tcMar>
            <w:shd w:fill="01696F"/>
          </w:tcPr>
          <w:p>
            <w:pPr>
              <w:keepLines/>
              <w:spacing w:after="0"/>
            </w:pPr>
            <w:r/>
            <w:r>
              <w:rPr>
                <w:rFonts w:ascii="Times New Roman" w:hAnsi="Times New Roman"/>
                <w:b/>
                <w:color w:val="FFFFFF"/>
                <w:sz w:val="17"/>
              </w:rPr>
              <w:t>festgestellter Inhalt</w:t>
            </w:r>
          </w:p>
        </w:tc>
        <w:tc>
          <w:tcPr>
            <w:tcW w:type="dxa" w:w="1925"/>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Bewertungsanker</w:t>
            </w:r>
          </w:p>
        </w:tc>
        <w:tc>
          <w:tcPr>
            <w:tcW w:type="dxa" w:w="1329"/>
            <w:vAlign w:val="top"/>
            <w:tcMar>
              <w:top w:w="60" w:type="dxa"/>
              <w:start w:w="90" w:type="dxa"/>
              <w:bottom w:w="60" w:type="dxa"/>
              <w:end w:w="90" w:type="dxa"/>
            </w:tcMar>
            <w:shd w:fill="01696F"/>
          </w:tcPr>
          <w:p>
            <w:pPr>
              <w:keepLines/>
              <w:spacing w:after="0"/>
            </w:pPr>
            <w:r/>
            <w:r>
              <w:rPr>
                <w:rFonts w:ascii="Times New Roman" w:hAnsi="Times New Roman"/>
                <w:b/>
                <w:color w:val="FFFFFF"/>
                <w:sz w:val="17"/>
              </w:rPr>
              <w:t>Punktefolge</w:t>
            </w:r>
          </w:p>
        </w:tc>
      </w:tr>
      <w:tr>
        <w:trPr>
          <w:cantSplit/>
        </w:trPr>
        <w:tc>
          <w:tcPr>
            <w:tcW w:type="dxa" w:w="1963"/>
            <w:vAlign w:val="top"/>
            <w:tcMar>
              <w:top w:w="60" w:type="dxa"/>
              <w:start w:w="90" w:type="dxa"/>
              <w:bottom w:w="60" w:type="dxa"/>
              <w:end w:w="90" w:type="dxa"/>
            </w:tcMar>
          </w:tcPr>
          <w:p>
            <w:pPr>
              <w:keepLines/>
              <w:spacing w:after="0"/>
            </w:pPr>
            <w:r/>
            <w:r>
              <w:rPr>
                <w:rFonts w:ascii="Times New Roman" w:hAnsi="Times New Roman"/>
                <w:sz w:val="17"/>
              </w:rPr>
              <w:t>CyberShield Use-Case-Pflege</w:t>
            </w:r>
          </w:p>
        </w:tc>
        <w:tc>
          <w:tcPr>
            <w:tcW w:type="dxa" w:w="1908"/>
            <w:vAlign w:val="top"/>
            <w:tcMar>
              <w:top w:w="60" w:type="dxa"/>
              <w:start w:w="90" w:type="dxa"/>
              <w:bottom w:w="60" w:type="dxa"/>
              <w:end w:w="90" w:type="dxa"/>
            </w:tcMar>
          </w:tcPr>
          <w:p>
            <w:pPr>
              <w:keepLines/>
              <w:spacing w:after="0"/>
            </w:pPr>
            <w:r/>
            <w:r>
              <w:rPr>
                <w:rFonts w:ascii="Times New Roman" w:hAnsi="Times New Roman"/>
                <w:sz w:val="17"/>
              </w:rPr>
              <w:t>Fachkonzept Seiten 18 bis 23</w:t>
            </w:r>
          </w:p>
        </w:tc>
        <w:tc>
          <w:tcPr>
            <w:tcW w:type="dxa" w:w="1946"/>
            <w:vAlign w:val="top"/>
            <w:tcMar>
              <w:top w:w="60" w:type="dxa"/>
              <w:start w:w="90" w:type="dxa"/>
              <w:bottom w:w="60" w:type="dxa"/>
              <w:end w:w="90" w:type="dxa"/>
            </w:tcMar>
          </w:tcPr>
          <w:p>
            <w:pPr>
              <w:keepLines/>
              <w:spacing w:after="0"/>
            </w:pPr>
            <w:r/>
            <w:r>
              <w:rPr>
                <w:rFonts w:ascii="Times New Roman" w:hAnsi="Times New Roman"/>
                <w:sz w:val="17"/>
              </w:rPr>
              <w:t>monatliche technische Prüfung, halbjährliche Kundenfreigabe</w:t>
            </w:r>
          </w:p>
        </w:tc>
        <w:tc>
          <w:tcPr>
            <w:tcW w:type="dxa" w:w="1925"/>
            <w:vAlign w:val="top"/>
            <w:tcMar>
              <w:top w:w="60" w:type="dxa"/>
              <w:start w:w="90" w:type="dxa"/>
              <w:bottom w:w="60" w:type="dxa"/>
              <w:end w:w="90" w:type="dxa"/>
            </w:tcMar>
          </w:tcPr>
          <w:p>
            <w:pPr>
              <w:keepLines/>
              <w:spacing w:after="0"/>
            </w:pPr>
            <w:r/>
            <w:r>
              <w:rPr>
                <w:rFonts w:ascii="Times New Roman" w:hAnsi="Times New Roman"/>
                <w:sz w:val="17"/>
              </w:rPr>
              <w:t>belastbarer Lebenszyklus mit geregelter Rückkopplung</w:t>
            </w:r>
          </w:p>
        </w:tc>
        <w:tc>
          <w:tcPr>
            <w:tcW w:type="dxa" w:w="1329"/>
            <w:vAlign w:val="top"/>
            <w:tcMar>
              <w:top w:w="60" w:type="dxa"/>
              <w:start w:w="90" w:type="dxa"/>
              <w:bottom w:w="60" w:type="dxa"/>
              <w:end w:w="90" w:type="dxa"/>
            </w:tcMar>
          </w:tcPr>
          <w:p>
            <w:pPr>
              <w:keepLines/>
              <w:spacing w:after="0"/>
            </w:pPr>
            <w:r/>
            <w:r>
              <w:rPr>
                <w:rFonts w:ascii="Times New Roman" w:hAnsi="Times New Roman"/>
                <w:sz w:val="17"/>
              </w:rPr>
              <w:t>7.5 von 8</w:t>
            </w:r>
          </w:p>
        </w:tc>
      </w:tr>
      <w:tr>
        <w:trPr>
          <w:cantSplit/>
        </w:trPr>
        <w:tc>
          <w:tcPr>
            <w:tcW w:type="dxa" w:w="1963"/>
            <w:vAlign w:val="top"/>
            <w:tcMar>
              <w:top w:w="60" w:type="dxa"/>
              <w:start w:w="90" w:type="dxa"/>
              <w:bottom w:w="60" w:type="dxa"/>
              <w:end w:w="90" w:type="dxa"/>
            </w:tcMar>
            <w:shd w:fill="F1F3F3"/>
          </w:tcPr>
          <w:p>
            <w:pPr>
              <w:keepLines/>
              <w:spacing w:after="0"/>
            </w:pPr>
            <w:r/>
            <w:r>
              <w:rPr>
                <w:rFonts w:ascii="Times New Roman" w:hAnsi="Times New Roman"/>
                <w:sz w:val="17"/>
              </w:rPr>
              <w:t>CyberShield Incident-Kommunikation</w:t>
            </w:r>
          </w:p>
        </w:tc>
        <w:tc>
          <w:tcPr>
            <w:tcW w:type="dxa" w:w="1908"/>
            <w:vAlign w:val="top"/>
            <w:tcMar>
              <w:top w:w="60" w:type="dxa"/>
              <w:start w:w="90" w:type="dxa"/>
              <w:bottom w:w="60" w:type="dxa"/>
              <w:end w:w="90" w:type="dxa"/>
            </w:tcMar>
            <w:shd w:fill="F1F3F3"/>
          </w:tcPr>
          <w:p>
            <w:pPr>
              <w:keepLines/>
              <w:spacing w:after="0"/>
            </w:pPr>
            <w:r/>
            <w:r>
              <w:rPr>
                <w:rFonts w:ascii="Times New Roman" w:hAnsi="Times New Roman"/>
                <w:sz w:val="17"/>
              </w:rPr>
              <w:t>Fachkonzept Seiten 31 bis 36</w:t>
            </w:r>
          </w:p>
        </w:tc>
        <w:tc>
          <w:tcPr>
            <w:tcW w:type="dxa" w:w="1946"/>
            <w:vAlign w:val="top"/>
            <w:tcMar>
              <w:top w:w="60" w:type="dxa"/>
              <w:start w:w="90" w:type="dxa"/>
              <w:bottom w:w="60" w:type="dxa"/>
              <w:end w:w="90" w:type="dxa"/>
            </w:tcMar>
            <w:shd w:fill="F1F3F3"/>
          </w:tcPr>
          <w:p>
            <w:pPr>
              <w:keepLines/>
              <w:spacing w:after="0"/>
            </w:pPr>
            <w:r/>
            <w:r>
              <w:rPr>
                <w:rFonts w:ascii="Times New Roman" w:hAnsi="Times New Roman"/>
                <w:sz w:val="17"/>
              </w:rPr>
              <w:t>feste Lageberichte und Entscheidungslog</w:t>
            </w:r>
          </w:p>
        </w:tc>
        <w:tc>
          <w:tcPr>
            <w:tcW w:type="dxa" w:w="1925"/>
            <w:vAlign w:val="top"/>
            <w:tcMar>
              <w:top w:w="60" w:type="dxa"/>
              <w:start w:w="90" w:type="dxa"/>
              <w:bottom w:w="60" w:type="dxa"/>
              <w:end w:w="90" w:type="dxa"/>
            </w:tcMar>
            <w:shd w:fill="F1F3F3"/>
          </w:tcPr>
          <w:p>
            <w:pPr>
              <w:keepLines/>
              <w:spacing w:after="0"/>
            </w:pPr>
            <w:r/>
            <w:r>
              <w:rPr>
                <w:rFonts w:ascii="Times New Roman" w:hAnsi="Times New Roman"/>
                <w:sz w:val="17"/>
              </w:rPr>
              <w:t>klare Rollen, Frequenz und Übergabe</w:t>
            </w:r>
          </w:p>
        </w:tc>
        <w:tc>
          <w:tcPr>
            <w:tcW w:type="dxa" w:w="1329"/>
            <w:vAlign w:val="top"/>
            <w:tcMar>
              <w:top w:w="60" w:type="dxa"/>
              <w:start w:w="90" w:type="dxa"/>
              <w:bottom w:w="60" w:type="dxa"/>
              <w:end w:w="90" w:type="dxa"/>
            </w:tcMar>
            <w:shd w:fill="F1F3F3"/>
          </w:tcPr>
          <w:p>
            <w:pPr>
              <w:keepLines/>
              <w:spacing w:after="0"/>
            </w:pPr>
            <w:r/>
            <w:r>
              <w:rPr>
                <w:rFonts w:ascii="Times New Roman" w:hAnsi="Times New Roman"/>
                <w:sz w:val="17"/>
              </w:rPr>
              <w:t>8 von 8</w:t>
            </w:r>
          </w:p>
        </w:tc>
      </w:tr>
      <w:tr>
        <w:trPr>
          <w:cantSplit/>
        </w:trPr>
        <w:tc>
          <w:tcPr>
            <w:tcW w:type="dxa" w:w="1963"/>
            <w:vAlign w:val="top"/>
            <w:tcMar>
              <w:top w:w="60" w:type="dxa"/>
              <w:start w:w="90" w:type="dxa"/>
              <w:bottom w:w="60" w:type="dxa"/>
              <w:end w:w="90" w:type="dxa"/>
            </w:tcMar>
          </w:tcPr>
          <w:p>
            <w:pPr>
              <w:keepLines/>
              <w:spacing w:after="0"/>
            </w:pPr>
            <w:r/>
            <w:r>
              <w:rPr>
                <w:rFonts w:ascii="Times New Roman" w:hAnsi="Times New Roman"/>
                <w:sz w:val="17"/>
              </w:rPr>
              <w:t>ProtectIT Reaktion</w:t>
            </w:r>
          </w:p>
        </w:tc>
        <w:tc>
          <w:tcPr>
            <w:tcW w:type="dxa" w:w="1908"/>
            <w:vAlign w:val="top"/>
            <w:tcMar>
              <w:top w:w="60" w:type="dxa"/>
              <w:start w:w="90" w:type="dxa"/>
              <w:bottom w:w="60" w:type="dxa"/>
              <w:end w:w="90" w:type="dxa"/>
            </w:tcMar>
          </w:tcPr>
          <w:p>
            <w:pPr>
              <w:keepLines/>
              <w:spacing w:after="0"/>
            </w:pPr>
            <w:r/>
            <w:r>
              <w:rPr>
                <w:rFonts w:ascii="Times New Roman" w:hAnsi="Times New Roman"/>
                <w:sz w:val="17"/>
              </w:rPr>
              <w:t>Konzept v1 Seiten 9 bis 11</w:t>
            </w:r>
          </w:p>
        </w:tc>
        <w:tc>
          <w:tcPr>
            <w:tcW w:type="dxa" w:w="1946"/>
            <w:vAlign w:val="top"/>
            <w:tcMar>
              <w:top w:w="60" w:type="dxa"/>
              <w:start w:w="90" w:type="dxa"/>
              <w:bottom w:w="60" w:type="dxa"/>
              <w:end w:w="90" w:type="dxa"/>
            </w:tcMar>
          </w:tcPr>
          <w:p>
            <w:pPr>
              <w:keepLines/>
              <w:spacing w:after="0"/>
            </w:pPr>
            <w:r/>
            <w:r>
              <w:rPr>
                <w:rFonts w:ascii="Times New Roman" w:hAnsi="Times New Roman"/>
                <w:sz w:val="17"/>
              </w:rPr>
              <w:t>45 Minuten, keine verbindliche Vor-Ort-Frist</w:t>
            </w:r>
          </w:p>
        </w:tc>
        <w:tc>
          <w:tcPr>
            <w:tcW w:type="dxa" w:w="1925"/>
            <w:vAlign w:val="top"/>
            <w:tcMar>
              <w:top w:w="60" w:type="dxa"/>
              <w:start w:w="90" w:type="dxa"/>
              <w:bottom w:w="60" w:type="dxa"/>
              <w:end w:w="90" w:type="dxa"/>
            </w:tcMar>
          </w:tcPr>
          <w:p>
            <w:pPr>
              <w:keepLines/>
              <w:spacing w:after="0"/>
            </w:pPr>
            <w:r/>
            <w:r>
              <w:rPr>
                <w:rFonts w:ascii="Times New Roman" w:hAnsi="Times New Roman"/>
                <w:sz w:val="17"/>
              </w:rPr>
              <w:t>Zeit, Messpunkt, Vertretung und Vor-Ort-Kette</w:t>
            </w:r>
          </w:p>
        </w:tc>
        <w:tc>
          <w:tcPr>
            <w:tcW w:type="dxa" w:w="1329"/>
            <w:vAlign w:val="top"/>
            <w:tcMar>
              <w:top w:w="60" w:type="dxa"/>
              <w:start w:w="90" w:type="dxa"/>
              <w:bottom w:w="60" w:type="dxa"/>
              <w:end w:w="90" w:type="dxa"/>
            </w:tcMar>
          </w:tcPr>
          <w:p>
            <w:pPr>
              <w:keepLines/>
              <w:spacing w:after="0"/>
            </w:pPr>
            <w:r/>
            <w:r>
              <w:rPr>
                <w:rFonts w:ascii="Times New Roman" w:hAnsi="Times New Roman"/>
                <w:sz w:val="17"/>
              </w:rPr>
              <w:t>11 von 15</w:t>
            </w:r>
          </w:p>
        </w:tc>
      </w:tr>
      <w:tr>
        <w:trPr>
          <w:cantSplit/>
        </w:trPr>
        <w:tc>
          <w:tcPr>
            <w:tcW w:type="dxa" w:w="1963"/>
            <w:vAlign w:val="top"/>
            <w:tcMar>
              <w:top w:w="60" w:type="dxa"/>
              <w:start w:w="90" w:type="dxa"/>
              <w:bottom w:w="60" w:type="dxa"/>
              <w:end w:w="90" w:type="dxa"/>
            </w:tcMar>
            <w:shd w:fill="F1F3F3"/>
          </w:tcPr>
          <w:p>
            <w:pPr>
              <w:keepLines/>
              <w:spacing w:after="0"/>
            </w:pPr>
            <w:r/>
            <w:r>
              <w:rPr>
                <w:rFonts w:ascii="Times New Roman" w:hAnsi="Times New Roman"/>
                <w:sz w:val="17"/>
              </w:rPr>
              <w:t>NSI Nachtbereitschaft</w:t>
            </w:r>
          </w:p>
        </w:tc>
        <w:tc>
          <w:tcPr>
            <w:tcW w:type="dxa" w:w="1908"/>
            <w:vAlign w:val="top"/>
            <w:tcMar>
              <w:top w:w="60" w:type="dxa"/>
              <w:start w:w="90" w:type="dxa"/>
              <w:bottom w:w="60" w:type="dxa"/>
              <w:end w:w="90" w:type="dxa"/>
            </w:tcMar>
            <w:shd w:fill="F1F3F3"/>
          </w:tcPr>
          <w:p>
            <w:pPr>
              <w:keepLines/>
              <w:spacing w:after="0"/>
            </w:pPr>
            <w:r/>
            <w:r>
              <w:rPr>
                <w:rFonts w:ascii="Times New Roman" w:hAnsi="Times New Roman"/>
                <w:sz w:val="17"/>
              </w:rPr>
              <w:t>Organisationskonzept Seiten 12 bis 14</w:t>
            </w:r>
          </w:p>
        </w:tc>
        <w:tc>
          <w:tcPr>
            <w:tcW w:type="dxa" w:w="1946"/>
            <w:vAlign w:val="top"/>
            <w:tcMar>
              <w:top w:w="60" w:type="dxa"/>
              <w:start w:w="90" w:type="dxa"/>
              <w:bottom w:w="60" w:type="dxa"/>
              <w:end w:w="90" w:type="dxa"/>
            </w:tcMar>
            <w:shd w:fill="F1F3F3"/>
          </w:tcPr>
          <w:p>
            <w:pPr>
              <w:keepLines/>
              <w:spacing w:after="0"/>
            </w:pPr>
            <w:r/>
            <w:r>
              <w:rPr>
                <w:rFonts w:ascii="Times New Roman" w:hAnsi="Times New Roman"/>
                <w:sz w:val="17"/>
              </w:rPr>
              <w:t>zweite Rufbereitschaft, aber nur ein Senior Analyst</w:t>
            </w:r>
          </w:p>
        </w:tc>
        <w:tc>
          <w:tcPr>
            <w:tcW w:type="dxa" w:w="1925"/>
            <w:vAlign w:val="top"/>
            <w:tcMar>
              <w:top w:w="60" w:type="dxa"/>
              <w:start w:w="90" w:type="dxa"/>
              <w:bottom w:w="60" w:type="dxa"/>
              <w:end w:w="90" w:type="dxa"/>
            </w:tcMar>
            <w:shd w:fill="F1F3F3"/>
          </w:tcPr>
          <w:p>
            <w:pPr>
              <w:keepLines/>
              <w:spacing w:after="0"/>
            </w:pPr>
            <w:r/>
            <w:r>
              <w:rPr>
                <w:rFonts w:ascii="Times New Roman" w:hAnsi="Times New Roman"/>
                <w:sz w:val="17"/>
              </w:rPr>
              <w:t>belastbare Vertretung unter Parallelbelastung</w:t>
            </w:r>
          </w:p>
        </w:tc>
        <w:tc>
          <w:tcPr>
            <w:tcW w:type="dxa" w:w="1329"/>
            <w:vAlign w:val="top"/>
            <w:tcMar>
              <w:top w:w="60" w:type="dxa"/>
              <w:start w:w="90" w:type="dxa"/>
              <w:bottom w:w="60" w:type="dxa"/>
              <w:end w:w="90" w:type="dxa"/>
            </w:tcMar>
            <w:shd w:fill="F1F3F3"/>
          </w:tcPr>
          <w:p>
            <w:pPr>
              <w:keepLines/>
              <w:spacing w:after="0"/>
            </w:pPr>
            <w:r/>
            <w:r>
              <w:rPr>
                <w:rFonts w:ascii="Times New Roman" w:hAnsi="Times New Roman"/>
                <w:sz w:val="17"/>
              </w:rPr>
              <w:t>6 von 8</w:t>
            </w:r>
          </w:p>
        </w:tc>
      </w:tr>
    </w:tbl>
    <w:p>
      <w:pPr>
        <w:spacing w:after="0" w:before="40"/>
      </w:pPr>
    </w:p>
    <w:p>
      <w:pPr>
        <w:pStyle w:val="Heading1"/>
        <w:keepNext/>
        <w:keepLines/>
      </w:pPr>
      <w:r>
        <w:t>5. Rechen- und Rangkontrolle</w:t>
      </w:r>
    </w:p>
    <w:tbl>
      <w:tblPr>
        <w:tblStyle w:val="TableGrid"/>
        <w:tblW w:type="dxa" w:w="9073"/>
        <w:jc w:val="left"/>
        <w:tblLayout w:type="fixed"/>
        <w:tblLook w:firstColumn="1" w:firstRow="1" w:lastColumn="0" w:lastRow="0" w:noHBand="0" w:noVBand="1" w:val="04A0"/>
      </w:tblPr>
      <w:tblGrid>
        <w:gridCol w:w="1987"/>
        <w:gridCol w:w="1181"/>
        <w:gridCol w:w="1181"/>
        <w:gridCol w:w="1181"/>
        <w:gridCol w:w="1181"/>
        <w:gridCol w:w="1181"/>
        <w:gridCol w:w="1181"/>
      </w:tblGrid>
      <w:tr>
        <w:trPr>
          <w:tblHeader w:val="true"/>
          <w:cantSplit/>
        </w:trPr>
        <w:tc>
          <w:tcPr>
            <w:tcW w:type="dxa" w:w="1987"/>
            <w:vAlign w:val="top"/>
            <w:tcMar>
              <w:top w:w="60" w:type="dxa"/>
              <w:start w:w="90" w:type="dxa"/>
              <w:bottom w:w="60" w:type="dxa"/>
              <w:end w:w="90" w:type="dxa"/>
            </w:tcMar>
            <w:shd w:fill="01696F"/>
          </w:tcPr>
          <w:p>
            <w:pPr>
              <w:keepLines/>
              <w:spacing w:after="0"/>
            </w:pPr>
            <w:r/>
            <w:r>
              <w:rPr>
                <w:rFonts w:ascii="Times New Roman" w:hAnsi="Times New Roman"/>
                <w:b/>
                <w:color w:val="FFFFFF"/>
                <w:sz w:val="17"/>
              </w:rPr>
              <w:t>Bieter</w:t>
            </w:r>
          </w:p>
        </w:tc>
        <w:tc>
          <w:tcPr>
            <w:tcW w:type="dxa" w:w="1181"/>
            <w:vAlign w:val="top"/>
            <w:tcMar>
              <w:top w:w="60" w:type="dxa"/>
              <w:start w:w="90" w:type="dxa"/>
              <w:bottom w:w="60" w:type="dxa"/>
              <w:end w:w="90" w:type="dxa"/>
            </w:tcMar>
            <w:shd w:fill="01696F"/>
          </w:tcPr>
          <w:p>
            <w:pPr>
              <w:keepLines/>
              <w:spacing w:after="0"/>
            </w:pPr>
            <w:r/>
            <w:r>
              <w:rPr>
                <w:rFonts w:ascii="Times New Roman" w:hAnsi="Times New Roman"/>
                <w:b/>
                <w:color w:val="FFFFFF"/>
                <w:sz w:val="17"/>
              </w:rPr>
              <w:t>Preis</w:t>
            </w:r>
          </w:p>
        </w:tc>
        <w:tc>
          <w:tcPr>
            <w:tcW w:type="dxa" w:w="1181"/>
            <w:vAlign w:val="top"/>
            <w:tcMar>
              <w:top w:w="60" w:type="dxa"/>
              <w:start w:w="90" w:type="dxa"/>
              <w:bottom w:w="60" w:type="dxa"/>
              <w:end w:w="90" w:type="dxa"/>
            </w:tcMar>
            <w:shd w:fill="01696F"/>
          </w:tcPr>
          <w:p>
            <w:pPr>
              <w:keepLines/>
              <w:spacing w:after="0"/>
            </w:pPr>
            <w:r/>
            <w:r>
              <w:rPr>
                <w:rFonts w:ascii="Times New Roman" w:hAnsi="Times New Roman"/>
                <w:b/>
                <w:color w:val="FFFFFF"/>
                <w:sz w:val="17"/>
              </w:rPr>
              <w:t>Fachkonzept</w:t>
            </w:r>
          </w:p>
        </w:tc>
        <w:tc>
          <w:tcPr>
            <w:tcW w:type="dxa" w:w="1181"/>
            <w:vAlign w:val="top"/>
            <w:tcMar>
              <w:top w:w="60" w:type="dxa"/>
              <w:start w:w="90" w:type="dxa"/>
              <w:bottom w:w="60" w:type="dxa"/>
              <w:end w:w="90" w:type="dxa"/>
            </w:tcMar>
            <w:shd w:fill="01696F"/>
          </w:tcPr>
          <w:p>
            <w:pPr>
              <w:keepLines/>
              <w:spacing w:after="0"/>
            </w:pPr>
            <w:r/>
            <w:r>
              <w:rPr>
                <w:rFonts w:ascii="Times New Roman" w:hAnsi="Times New Roman"/>
                <w:b/>
                <w:color w:val="FFFFFF"/>
                <w:sz w:val="17"/>
              </w:rPr>
              <w:t>Reaktionszeiten</w:t>
            </w:r>
          </w:p>
        </w:tc>
        <w:tc>
          <w:tcPr>
            <w:tcW w:type="dxa" w:w="1181"/>
            <w:vAlign w:val="top"/>
            <w:tcMar>
              <w:top w:w="60" w:type="dxa"/>
              <w:start w:w="90" w:type="dxa"/>
              <w:bottom w:w="60" w:type="dxa"/>
              <w:end w:w="90" w:type="dxa"/>
            </w:tcMar>
            <w:shd w:fill="01696F"/>
          </w:tcPr>
          <w:p>
            <w:pPr>
              <w:keepLines/>
              <w:spacing w:after="0"/>
            </w:pPr>
            <w:r/>
            <w:r>
              <w:rPr>
                <w:rFonts w:ascii="Times New Roman" w:hAnsi="Times New Roman"/>
                <w:b/>
                <w:color w:val="FFFFFF"/>
                <w:sz w:val="17"/>
              </w:rPr>
              <w:t>Nachhaltigkeit</w:t>
            </w:r>
          </w:p>
        </w:tc>
        <w:tc>
          <w:tcPr>
            <w:tcW w:type="dxa" w:w="1181"/>
            <w:vAlign w:val="top"/>
            <w:tcMar>
              <w:top w:w="60" w:type="dxa"/>
              <w:start w:w="90" w:type="dxa"/>
              <w:bottom w:w="60" w:type="dxa"/>
              <w:end w:w="90" w:type="dxa"/>
            </w:tcMar>
            <w:shd w:fill="01696F"/>
          </w:tcPr>
          <w:p>
            <w:pPr>
              <w:keepLines/>
              <w:spacing w:after="0"/>
            </w:pPr>
            <w:r/>
            <w:r>
              <w:rPr>
                <w:rFonts w:ascii="Times New Roman" w:hAnsi="Times New Roman"/>
                <w:b/>
                <w:color w:val="FFFFFF"/>
                <w:sz w:val="17"/>
              </w:rPr>
              <w:t>Gesamt</w:t>
            </w:r>
          </w:p>
        </w:tc>
        <w:tc>
          <w:tcPr>
            <w:tcW w:type="dxa" w:w="1181"/>
            <w:vAlign w:val="top"/>
            <w:tcMar>
              <w:top w:w="60" w:type="dxa"/>
              <w:start w:w="90" w:type="dxa"/>
              <w:bottom w:w="60" w:type="dxa"/>
              <w:end w:w="90" w:type="dxa"/>
            </w:tcMar>
            <w:shd w:fill="01696F"/>
          </w:tcPr>
          <w:p>
            <w:pPr>
              <w:keepLines/>
              <w:spacing w:after="0"/>
            </w:pPr>
            <w:r/>
            <w:r>
              <w:rPr>
                <w:rFonts w:ascii="Times New Roman" w:hAnsi="Times New Roman"/>
                <w:b/>
                <w:color w:val="FFFFFF"/>
                <w:sz w:val="17"/>
              </w:rPr>
              <w:t>Rang</w:t>
            </w:r>
          </w:p>
        </w:tc>
      </w:tr>
      <w:tr>
        <w:trPr>
          <w:cantSplit/>
        </w:trPr>
        <w:tc>
          <w:tcPr>
            <w:tcW w:type="dxa" w:w="1987"/>
            <w:vAlign w:val="top"/>
            <w:tcMar>
              <w:top w:w="60" w:type="dxa"/>
              <w:start w:w="90" w:type="dxa"/>
              <w:bottom w:w="60" w:type="dxa"/>
              <w:end w:w="90" w:type="dxa"/>
            </w:tcMar>
          </w:tcPr>
          <w:p>
            <w:pPr>
              <w:keepLines/>
              <w:spacing w:after="0"/>
            </w:pPr>
            <w:r/>
            <w:r>
              <w:rPr>
                <w:rFonts w:ascii="Times New Roman" w:hAnsi="Times New Roman"/>
                <w:sz w:val="17"/>
              </w:rPr>
              <w:t>CyberShield Defense GmbH</w:t>
            </w:r>
          </w:p>
        </w:tc>
        <w:tc>
          <w:tcPr>
            <w:tcW w:type="dxa" w:w="1181"/>
            <w:vAlign w:val="top"/>
            <w:tcMar>
              <w:top w:w="60" w:type="dxa"/>
              <w:start w:w="90" w:type="dxa"/>
              <w:bottom w:w="60" w:type="dxa"/>
              <w:end w:w="90" w:type="dxa"/>
            </w:tcMar>
          </w:tcPr>
          <w:p>
            <w:pPr>
              <w:keepLines/>
              <w:spacing w:after="0"/>
            </w:pPr>
            <w:r/>
            <w:r>
              <w:rPr>
                <w:rFonts w:ascii="Times New Roman" w:hAnsi="Times New Roman"/>
                <w:sz w:val="17"/>
              </w:rPr>
              <w:t>37.40</w:t>
            </w:r>
          </w:p>
        </w:tc>
        <w:tc>
          <w:tcPr>
            <w:tcW w:type="dxa" w:w="1181"/>
            <w:vAlign w:val="top"/>
            <w:tcMar>
              <w:top w:w="60" w:type="dxa"/>
              <w:start w:w="90" w:type="dxa"/>
              <w:bottom w:w="60" w:type="dxa"/>
              <w:end w:w="90" w:type="dxa"/>
            </w:tcMar>
          </w:tcPr>
          <w:p>
            <w:pPr>
              <w:keepLines/>
              <w:spacing w:after="0"/>
            </w:pPr>
            <w:r/>
            <w:r>
              <w:rPr>
                <w:rFonts w:ascii="Times New Roman" w:hAnsi="Times New Roman"/>
                <w:sz w:val="17"/>
              </w:rPr>
              <w:t>31.50</w:t>
            </w:r>
          </w:p>
        </w:tc>
        <w:tc>
          <w:tcPr>
            <w:tcW w:type="dxa" w:w="1181"/>
            <w:vAlign w:val="top"/>
            <w:tcMar>
              <w:top w:w="60" w:type="dxa"/>
              <w:start w:w="90" w:type="dxa"/>
              <w:bottom w:w="60" w:type="dxa"/>
              <w:end w:w="90" w:type="dxa"/>
            </w:tcMar>
          </w:tcPr>
          <w:p>
            <w:pPr>
              <w:keepLines/>
              <w:spacing w:after="0"/>
            </w:pPr>
            <w:r/>
            <w:r>
              <w:rPr>
                <w:rFonts w:ascii="Times New Roman" w:hAnsi="Times New Roman"/>
                <w:sz w:val="17"/>
              </w:rPr>
              <w:t>15.00</w:t>
            </w:r>
          </w:p>
        </w:tc>
        <w:tc>
          <w:tcPr>
            <w:tcW w:type="dxa" w:w="1181"/>
            <w:vAlign w:val="top"/>
            <w:tcMar>
              <w:top w:w="60" w:type="dxa"/>
              <w:start w:w="90" w:type="dxa"/>
              <w:bottom w:w="60" w:type="dxa"/>
              <w:end w:w="90" w:type="dxa"/>
            </w:tcMar>
          </w:tcPr>
          <w:p>
            <w:pPr>
              <w:keepLines/>
              <w:spacing w:after="0"/>
            </w:pPr>
            <w:r/>
            <w:r>
              <w:rPr>
                <w:rFonts w:ascii="Times New Roman" w:hAnsi="Times New Roman"/>
                <w:sz w:val="17"/>
              </w:rPr>
              <w:t>7.80</w:t>
            </w:r>
          </w:p>
        </w:tc>
        <w:tc>
          <w:tcPr>
            <w:tcW w:type="dxa" w:w="1181"/>
            <w:vAlign w:val="top"/>
            <w:tcMar>
              <w:top w:w="60" w:type="dxa"/>
              <w:start w:w="90" w:type="dxa"/>
              <w:bottom w:w="60" w:type="dxa"/>
              <w:end w:w="90" w:type="dxa"/>
            </w:tcMar>
          </w:tcPr>
          <w:p>
            <w:pPr>
              <w:keepLines/>
              <w:spacing w:after="0"/>
            </w:pPr>
            <w:r/>
            <w:r>
              <w:rPr>
                <w:rFonts w:ascii="Times New Roman" w:hAnsi="Times New Roman"/>
                <w:sz w:val="17"/>
              </w:rPr>
              <w:t>91.70</w:t>
            </w:r>
          </w:p>
        </w:tc>
        <w:tc>
          <w:tcPr>
            <w:tcW w:type="dxa" w:w="1181"/>
            <w:vAlign w:val="top"/>
            <w:tcMar>
              <w:top w:w="60" w:type="dxa"/>
              <w:start w:w="90" w:type="dxa"/>
              <w:bottom w:w="60" w:type="dxa"/>
              <w:end w:w="90" w:type="dxa"/>
            </w:tcMar>
          </w:tcPr>
          <w:p>
            <w:pPr>
              <w:keepLines/>
              <w:spacing w:after="0"/>
            </w:pPr>
            <w:r/>
            <w:r>
              <w:rPr>
                <w:rFonts w:ascii="Times New Roman" w:hAnsi="Times New Roman"/>
                <w:sz w:val="17"/>
              </w:rPr>
              <w:t>1</w:t>
            </w:r>
          </w:p>
        </w:tc>
      </w:tr>
      <w:tr>
        <w:trPr>
          <w:cantSplit/>
        </w:trPr>
        <w:tc>
          <w:tcPr>
            <w:tcW w:type="dxa" w:w="1987"/>
            <w:vAlign w:val="top"/>
            <w:tcMar>
              <w:top w:w="60" w:type="dxa"/>
              <w:start w:w="90" w:type="dxa"/>
              <w:bottom w:w="60" w:type="dxa"/>
              <w:end w:w="90" w:type="dxa"/>
            </w:tcMar>
            <w:shd w:fill="F1F3F3"/>
          </w:tcPr>
          <w:p>
            <w:pPr>
              <w:keepLines/>
              <w:spacing w:after="0"/>
            </w:pPr>
            <w:r/>
            <w:r>
              <w:rPr>
                <w:rFonts w:ascii="Times New Roman" w:hAnsi="Times New Roman"/>
                <w:sz w:val="17"/>
              </w:rPr>
              <w:t>ProtectIT SE</w:t>
            </w:r>
          </w:p>
        </w:tc>
        <w:tc>
          <w:tcPr>
            <w:tcW w:type="dxa" w:w="1181"/>
            <w:vAlign w:val="top"/>
            <w:tcMar>
              <w:top w:w="60" w:type="dxa"/>
              <w:start w:w="90" w:type="dxa"/>
              <w:bottom w:w="60" w:type="dxa"/>
              <w:end w:w="90" w:type="dxa"/>
            </w:tcMar>
            <w:shd w:fill="F1F3F3"/>
          </w:tcPr>
          <w:p>
            <w:pPr>
              <w:keepLines/>
              <w:spacing w:after="0"/>
            </w:pPr>
            <w:r/>
            <w:r>
              <w:rPr>
                <w:rFonts w:ascii="Times New Roman" w:hAnsi="Times New Roman"/>
                <w:sz w:val="17"/>
              </w:rPr>
              <w:t>40.00</w:t>
            </w:r>
          </w:p>
        </w:tc>
        <w:tc>
          <w:tcPr>
            <w:tcW w:type="dxa" w:w="1181"/>
            <w:vAlign w:val="top"/>
            <w:tcMar>
              <w:top w:w="60" w:type="dxa"/>
              <w:start w:w="90" w:type="dxa"/>
              <w:bottom w:w="60" w:type="dxa"/>
              <w:end w:w="90" w:type="dxa"/>
            </w:tcMar>
            <w:shd w:fill="F1F3F3"/>
          </w:tcPr>
          <w:p>
            <w:pPr>
              <w:keepLines/>
              <w:spacing w:after="0"/>
            </w:pPr>
            <w:r/>
            <w:r>
              <w:rPr>
                <w:rFonts w:ascii="Times New Roman" w:hAnsi="Times New Roman"/>
                <w:sz w:val="17"/>
              </w:rPr>
              <w:t>29.00</w:t>
            </w:r>
          </w:p>
        </w:tc>
        <w:tc>
          <w:tcPr>
            <w:tcW w:type="dxa" w:w="1181"/>
            <w:vAlign w:val="top"/>
            <w:tcMar>
              <w:top w:w="60" w:type="dxa"/>
              <w:start w:w="90" w:type="dxa"/>
              <w:bottom w:w="60" w:type="dxa"/>
              <w:end w:w="90" w:type="dxa"/>
            </w:tcMar>
            <w:shd w:fill="F1F3F3"/>
          </w:tcPr>
          <w:p>
            <w:pPr>
              <w:keepLines/>
              <w:spacing w:after="0"/>
            </w:pPr>
            <w:r/>
            <w:r>
              <w:rPr>
                <w:rFonts w:ascii="Times New Roman" w:hAnsi="Times New Roman"/>
                <w:sz w:val="17"/>
              </w:rPr>
              <w:t>11.00</w:t>
            </w:r>
          </w:p>
        </w:tc>
        <w:tc>
          <w:tcPr>
            <w:tcW w:type="dxa" w:w="1181"/>
            <w:vAlign w:val="top"/>
            <w:tcMar>
              <w:top w:w="60" w:type="dxa"/>
              <w:start w:w="90" w:type="dxa"/>
              <w:bottom w:w="60" w:type="dxa"/>
              <w:end w:w="90" w:type="dxa"/>
            </w:tcMar>
            <w:shd w:fill="F1F3F3"/>
          </w:tcPr>
          <w:p>
            <w:pPr>
              <w:keepLines/>
              <w:spacing w:after="0"/>
            </w:pPr>
            <w:r/>
            <w:r>
              <w:rPr>
                <w:rFonts w:ascii="Times New Roman" w:hAnsi="Times New Roman"/>
                <w:sz w:val="17"/>
              </w:rPr>
              <w:t>8.20</w:t>
            </w:r>
          </w:p>
        </w:tc>
        <w:tc>
          <w:tcPr>
            <w:tcW w:type="dxa" w:w="1181"/>
            <w:vAlign w:val="top"/>
            <w:tcMar>
              <w:top w:w="60" w:type="dxa"/>
              <w:start w:w="90" w:type="dxa"/>
              <w:bottom w:w="60" w:type="dxa"/>
              <w:end w:w="90" w:type="dxa"/>
            </w:tcMar>
            <w:shd w:fill="F1F3F3"/>
          </w:tcPr>
          <w:p>
            <w:pPr>
              <w:keepLines/>
              <w:spacing w:after="0"/>
            </w:pPr>
            <w:r/>
            <w:r>
              <w:rPr>
                <w:rFonts w:ascii="Times New Roman" w:hAnsi="Times New Roman"/>
                <w:sz w:val="17"/>
              </w:rPr>
              <w:t>88.20</w:t>
            </w:r>
          </w:p>
        </w:tc>
        <w:tc>
          <w:tcPr>
            <w:tcW w:type="dxa" w:w="1181"/>
            <w:vAlign w:val="top"/>
            <w:tcMar>
              <w:top w:w="60" w:type="dxa"/>
              <w:start w:w="90" w:type="dxa"/>
              <w:bottom w:w="60" w:type="dxa"/>
              <w:end w:w="90" w:type="dxa"/>
            </w:tcMar>
            <w:shd w:fill="F1F3F3"/>
          </w:tcPr>
          <w:p>
            <w:pPr>
              <w:keepLines/>
              <w:spacing w:after="0"/>
            </w:pPr>
            <w:r/>
            <w:r>
              <w:rPr>
                <w:rFonts w:ascii="Times New Roman" w:hAnsi="Times New Roman"/>
                <w:sz w:val="17"/>
              </w:rPr>
              <w:t>2</w:t>
            </w:r>
          </w:p>
        </w:tc>
      </w:tr>
      <w:tr>
        <w:trPr>
          <w:cantSplit/>
        </w:trPr>
        <w:tc>
          <w:tcPr>
            <w:tcW w:type="dxa" w:w="1987"/>
            <w:vAlign w:val="top"/>
            <w:tcMar>
              <w:top w:w="60" w:type="dxa"/>
              <w:start w:w="90" w:type="dxa"/>
              <w:bottom w:w="60" w:type="dxa"/>
              <w:end w:w="90" w:type="dxa"/>
            </w:tcMar>
          </w:tcPr>
          <w:p>
            <w:pPr>
              <w:keepLines/>
              <w:spacing w:after="0"/>
            </w:pPr>
            <w:r/>
            <w:r>
              <w:rPr>
                <w:rFonts w:ascii="Times New Roman" w:hAnsi="Times New Roman"/>
                <w:sz w:val="17"/>
              </w:rPr>
              <w:t>NSI Northern Security Industries GmbH</w:t>
            </w:r>
          </w:p>
        </w:tc>
        <w:tc>
          <w:tcPr>
            <w:tcW w:type="dxa" w:w="1181"/>
            <w:vAlign w:val="top"/>
            <w:tcMar>
              <w:top w:w="60" w:type="dxa"/>
              <w:start w:w="90" w:type="dxa"/>
              <w:bottom w:w="60" w:type="dxa"/>
              <w:end w:w="90" w:type="dxa"/>
            </w:tcMar>
          </w:tcPr>
          <w:p>
            <w:pPr>
              <w:keepLines/>
              <w:spacing w:after="0"/>
            </w:pPr>
            <w:r/>
            <w:r>
              <w:rPr>
                <w:rFonts w:ascii="Times New Roman" w:hAnsi="Times New Roman"/>
                <w:sz w:val="17"/>
              </w:rPr>
              <w:t>35.80</w:t>
            </w:r>
          </w:p>
        </w:tc>
        <w:tc>
          <w:tcPr>
            <w:tcW w:type="dxa" w:w="1181"/>
            <w:vAlign w:val="top"/>
            <w:tcMar>
              <w:top w:w="60" w:type="dxa"/>
              <w:start w:w="90" w:type="dxa"/>
              <w:bottom w:w="60" w:type="dxa"/>
              <w:end w:w="90" w:type="dxa"/>
            </w:tcMar>
          </w:tcPr>
          <w:p>
            <w:pPr>
              <w:keepLines/>
              <w:spacing w:after="0"/>
            </w:pPr>
            <w:r/>
            <w:r>
              <w:rPr>
                <w:rFonts w:ascii="Times New Roman" w:hAnsi="Times New Roman"/>
                <w:sz w:val="17"/>
              </w:rPr>
              <w:t>28.50</w:t>
            </w:r>
          </w:p>
        </w:tc>
        <w:tc>
          <w:tcPr>
            <w:tcW w:type="dxa" w:w="1181"/>
            <w:vAlign w:val="top"/>
            <w:tcMar>
              <w:top w:w="60" w:type="dxa"/>
              <w:start w:w="90" w:type="dxa"/>
              <w:bottom w:w="60" w:type="dxa"/>
              <w:end w:w="90" w:type="dxa"/>
            </w:tcMar>
          </w:tcPr>
          <w:p>
            <w:pPr>
              <w:keepLines/>
              <w:spacing w:after="0"/>
            </w:pPr>
            <w:r/>
            <w:r>
              <w:rPr>
                <w:rFonts w:ascii="Times New Roman" w:hAnsi="Times New Roman"/>
                <w:sz w:val="17"/>
              </w:rPr>
              <w:t>13.00</w:t>
            </w:r>
          </w:p>
        </w:tc>
        <w:tc>
          <w:tcPr>
            <w:tcW w:type="dxa" w:w="1181"/>
            <w:vAlign w:val="top"/>
            <w:tcMar>
              <w:top w:w="60" w:type="dxa"/>
              <w:start w:w="90" w:type="dxa"/>
              <w:bottom w:w="60" w:type="dxa"/>
              <w:end w:w="90" w:type="dxa"/>
            </w:tcMar>
          </w:tcPr>
          <w:p>
            <w:pPr>
              <w:keepLines/>
              <w:spacing w:after="0"/>
            </w:pPr>
            <w:r/>
            <w:r>
              <w:rPr>
                <w:rFonts w:ascii="Times New Roman" w:hAnsi="Times New Roman"/>
                <w:sz w:val="17"/>
              </w:rPr>
              <w:t>8.00</w:t>
            </w:r>
          </w:p>
        </w:tc>
        <w:tc>
          <w:tcPr>
            <w:tcW w:type="dxa" w:w="1181"/>
            <w:vAlign w:val="top"/>
            <w:tcMar>
              <w:top w:w="60" w:type="dxa"/>
              <w:start w:w="90" w:type="dxa"/>
              <w:bottom w:w="60" w:type="dxa"/>
              <w:end w:w="90" w:type="dxa"/>
            </w:tcMar>
          </w:tcPr>
          <w:p>
            <w:pPr>
              <w:keepLines/>
              <w:spacing w:after="0"/>
            </w:pPr>
            <w:r/>
            <w:r>
              <w:rPr>
                <w:rFonts w:ascii="Times New Roman" w:hAnsi="Times New Roman"/>
                <w:sz w:val="17"/>
              </w:rPr>
              <w:t>85.30</w:t>
            </w:r>
          </w:p>
        </w:tc>
        <w:tc>
          <w:tcPr>
            <w:tcW w:type="dxa" w:w="1181"/>
            <w:vAlign w:val="top"/>
            <w:tcMar>
              <w:top w:w="60" w:type="dxa"/>
              <w:start w:w="90" w:type="dxa"/>
              <w:bottom w:w="60" w:type="dxa"/>
              <w:end w:w="90" w:type="dxa"/>
            </w:tcMar>
          </w:tcPr>
          <w:p>
            <w:pPr>
              <w:keepLines/>
              <w:spacing w:after="0"/>
            </w:pPr>
            <w:r/>
            <w:r>
              <w:rPr>
                <w:rFonts w:ascii="Times New Roman" w:hAnsi="Times New Roman"/>
                <w:sz w:val="17"/>
              </w:rPr>
              <w:t>3</w:t>
            </w:r>
          </w:p>
        </w:tc>
      </w:tr>
    </w:tbl>
    <w:p>
      <w:pPr>
        <w:spacing w:after="0" w:before="40"/>
      </w:pPr>
    </w:p>
    <w:p>
      <w:pPr>
        <w:keepNext/>
        <w:keepLines/>
      </w:pPr>
      <w:r>
        <w:t>Die Summen wurden in der Wertungsdatei und unabhängig mit einem zweiten Rechenblatt geprüft. Rundungen erfolgen erst auf zwei Dezimalstellen je Hauptkriterium. Die Rangfolge bleibt auch bei einer Abweichung von 0.5 Punkten in einem einzelnen Fachunterkriterium unverändert.</w:t>
      </w:r>
    </w:p>
    <w:p>
      <w:pPr>
        <w:pStyle w:val="Heading1"/>
        <w:keepNext/>
        <w:keepLines/>
      </w:pPr>
      <w:r>
        <w:t>6. Gegenprüfung möglicher Einwände</w:t>
      </w:r>
    </w:p>
    <w:tbl>
      <w:tblPr>
        <w:tblStyle w:val="TableGrid"/>
        <w:tblW w:type="dxa" w:w="9071"/>
        <w:jc w:val="left"/>
        <w:tblLayout w:type="fixed"/>
        <w:tblLook w:firstColumn="1" w:firstRow="1" w:lastColumn="0" w:lastRow="0" w:noHBand="0" w:noVBand="1" w:val="04A0"/>
      </w:tblPr>
      <w:tblGrid>
        <w:gridCol w:w="3711"/>
        <w:gridCol w:w="5360"/>
      </w:tblGrid>
      <w:tr>
        <w:trPr>
          <w:tblHeader w:val="true"/>
          <w:cantSplit/>
        </w:trPr>
        <w:tc>
          <w:tcPr>
            <w:tcW w:type="dxa" w:w="3711"/>
            <w:vAlign w:val="top"/>
            <w:tcMar>
              <w:top w:w="60" w:type="dxa"/>
              <w:start w:w="90" w:type="dxa"/>
              <w:bottom w:w="60" w:type="dxa"/>
              <w:end w:w="90" w:type="dxa"/>
            </w:tcMar>
            <w:shd w:fill="01696F"/>
          </w:tcPr>
          <w:p>
            <w:pPr>
              <w:keepLines/>
              <w:spacing w:after="0"/>
            </w:pPr>
            <w:r/>
            <w:r>
              <w:rPr>
                <w:rFonts w:ascii="Times New Roman" w:hAnsi="Times New Roman"/>
                <w:b/>
                <w:color w:val="FFFFFF"/>
                <w:sz w:val="17"/>
              </w:rPr>
              <w:t>möglicher Einwand</w:t>
            </w:r>
          </w:p>
        </w:tc>
        <w:tc>
          <w:tcPr>
            <w:tcW w:type="dxa" w:w="5360"/>
            <w:vAlign w:val="top"/>
            <w:tcMar>
              <w:top w:w="60" w:type="dxa"/>
              <w:start w:w="90" w:type="dxa"/>
              <w:bottom w:w="60" w:type="dxa"/>
              <w:end w:w="90" w:type="dxa"/>
            </w:tcMar>
            <w:shd w:fill="01696F"/>
          </w:tcPr>
          <w:p>
            <w:pPr>
              <w:keepLines/>
              <w:spacing w:after="0"/>
            </w:pPr>
            <w:r/>
            <w:r>
              <w:rPr>
                <w:rFonts w:ascii="Times New Roman" w:hAnsi="Times New Roman"/>
                <w:b/>
                <w:color w:val="FFFFFF"/>
                <w:sz w:val="17"/>
              </w:rPr>
              <w:t>Aktenantwort</w:t>
            </w:r>
          </w:p>
        </w:tc>
      </w:tr>
      <w:tr>
        <w:trPr>
          <w:cantSplit/>
        </w:trPr>
        <w:tc>
          <w:tcPr>
            <w:tcW w:type="dxa" w:w="3711"/>
            <w:vAlign w:val="top"/>
            <w:tcMar>
              <w:top w:w="60" w:type="dxa"/>
              <w:start w:w="90" w:type="dxa"/>
              <w:bottom w:w="60" w:type="dxa"/>
              <w:end w:w="90" w:type="dxa"/>
            </w:tcMar>
          </w:tcPr>
          <w:p>
            <w:pPr>
              <w:keepLines/>
              <w:spacing w:after="0"/>
            </w:pPr>
            <w:r/>
            <w:r>
              <w:rPr>
                <w:rFonts w:ascii="Times New Roman" w:hAnsi="Times New Roman"/>
                <w:sz w:val="17"/>
              </w:rPr>
              <w:t>CyberShield werde wegen der Referenzentscheidung bevorzugt</w:t>
            </w:r>
          </w:p>
        </w:tc>
        <w:tc>
          <w:tcPr>
            <w:tcW w:type="dxa" w:w="5360"/>
            <w:vAlign w:val="top"/>
            <w:tcMar>
              <w:top w:w="60" w:type="dxa"/>
              <w:start w:w="90" w:type="dxa"/>
              <w:bottom w:w="60" w:type="dxa"/>
              <w:end w:w="90" w:type="dxa"/>
            </w:tcMar>
          </w:tcPr>
          <w:p>
            <w:pPr>
              <w:keepLines/>
              <w:spacing w:after="0"/>
            </w:pPr>
            <w:r/>
            <w:r>
              <w:rPr>
                <w:rFonts w:ascii="Times New Roman" w:hAnsi="Times New Roman"/>
                <w:sz w:val="17"/>
              </w:rPr>
              <w:t>Eignung und Zuschlagswertung wurden personell und methodisch getrennt; Referenzinhalte erzeugen keine Fachkonzeptpunkte</w:t>
            </w:r>
          </w:p>
        </w:tc>
      </w:tr>
      <w:tr>
        <w:trPr>
          <w:cantSplit/>
        </w:trPr>
        <w:tc>
          <w:tcPr>
            <w:tcW w:type="dxa" w:w="3711"/>
            <w:vAlign w:val="top"/>
            <w:tcMar>
              <w:top w:w="60" w:type="dxa"/>
              <w:start w:w="90" w:type="dxa"/>
              <w:bottom w:w="60" w:type="dxa"/>
              <w:end w:w="90" w:type="dxa"/>
            </w:tcMar>
            <w:shd w:fill="F1F3F3"/>
          </w:tcPr>
          <w:p>
            <w:pPr>
              <w:keepLines/>
              <w:spacing w:after="0"/>
            </w:pPr>
            <w:r/>
            <w:r>
              <w:rPr>
                <w:rFonts w:ascii="Times New Roman" w:hAnsi="Times New Roman"/>
                <w:sz w:val="17"/>
              </w:rPr>
              <w:t>ProtectIT verliere Punkte nur wegen der nachträglichen Datei</w:t>
            </w:r>
          </w:p>
        </w:tc>
        <w:tc>
          <w:tcPr>
            <w:tcW w:type="dxa" w:w="5360"/>
            <w:vAlign w:val="top"/>
            <w:tcMar>
              <w:top w:w="60" w:type="dxa"/>
              <w:start w:w="90" w:type="dxa"/>
              <w:bottom w:w="60" w:type="dxa"/>
              <w:end w:w="90" w:type="dxa"/>
            </w:tcMar>
            <w:shd w:fill="F1F3F3"/>
          </w:tcPr>
          <w:p>
            <w:pPr>
              <w:keepLines/>
              <w:spacing w:after="0"/>
            </w:pPr>
            <w:r/>
            <w:r>
              <w:rPr>
                <w:rFonts w:ascii="Times New Roman" w:hAnsi="Times New Roman"/>
                <w:sz w:val="17"/>
              </w:rPr>
              <w:t>Gewertet wird das fristgebundene Konzept v1; die spätere Datei wird weder positiv noch negativ bewertet</w:t>
            </w:r>
          </w:p>
        </w:tc>
      </w:tr>
      <w:tr>
        <w:trPr>
          <w:cantSplit/>
        </w:trPr>
        <w:tc>
          <w:tcPr>
            <w:tcW w:type="dxa" w:w="3711"/>
            <w:vAlign w:val="top"/>
            <w:tcMar>
              <w:top w:w="60" w:type="dxa"/>
              <w:start w:w="90" w:type="dxa"/>
              <w:bottom w:w="60" w:type="dxa"/>
              <w:end w:w="90" w:type="dxa"/>
            </w:tcMar>
          </w:tcPr>
          <w:p>
            <w:pPr>
              <w:keepLines/>
              <w:spacing w:after="0"/>
            </w:pPr>
            <w:r/>
            <w:r>
              <w:rPr>
                <w:rFonts w:ascii="Times New Roman" w:hAnsi="Times New Roman"/>
                <w:sz w:val="17"/>
              </w:rPr>
              <w:t>Preis müsse allein entscheiden</w:t>
            </w:r>
          </w:p>
        </w:tc>
        <w:tc>
          <w:tcPr>
            <w:tcW w:type="dxa" w:w="5360"/>
            <w:vAlign w:val="top"/>
            <w:tcMar>
              <w:top w:w="60" w:type="dxa"/>
              <w:start w:w="90" w:type="dxa"/>
              <w:bottom w:w="60" w:type="dxa"/>
              <w:end w:w="90" w:type="dxa"/>
            </w:tcMar>
          </w:tcPr>
          <w:p>
            <w:pPr>
              <w:keepLines/>
              <w:spacing w:after="0"/>
            </w:pPr>
            <w:r/>
            <w:r>
              <w:rPr>
                <w:rFonts w:ascii="Times New Roman" w:hAnsi="Times New Roman"/>
                <w:sz w:val="17"/>
              </w:rPr>
              <w:t>Veröffentlicht war eine Preis-Qualitäts-Wertung; CyberShield erreicht trotz höheren Preises den besten Gesamtwert</w:t>
            </w:r>
          </w:p>
        </w:tc>
      </w:tr>
      <w:tr>
        <w:trPr>
          <w:cantSplit/>
        </w:trPr>
        <w:tc>
          <w:tcPr>
            <w:tcW w:type="dxa" w:w="3711"/>
            <w:vAlign w:val="top"/>
            <w:tcMar>
              <w:top w:w="60" w:type="dxa"/>
              <w:start w:w="90" w:type="dxa"/>
              <w:bottom w:w="60" w:type="dxa"/>
              <w:end w:w="90" w:type="dxa"/>
            </w:tcMar>
            <w:shd w:fill="F1F3F3"/>
          </w:tcPr>
          <w:p>
            <w:pPr>
              <w:keepLines/>
              <w:spacing w:after="0"/>
            </w:pPr>
            <w:r/>
            <w:r>
              <w:rPr>
                <w:rFonts w:ascii="Times New Roman" w:hAnsi="Times New Roman"/>
                <w:sz w:val="17"/>
              </w:rPr>
              <w:t>Einzelmeinungen seien nachträglich geglättet</w:t>
            </w:r>
          </w:p>
        </w:tc>
        <w:tc>
          <w:tcPr>
            <w:tcW w:type="dxa" w:w="5360"/>
            <w:vAlign w:val="top"/>
            <w:tcMar>
              <w:top w:w="60" w:type="dxa"/>
              <w:start w:w="90" w:type="dxa"/>
              <w:bottom w:w="60" w:type="dxa"/>
              <w:end w:w="90" w:type="dxa"/>
            </w:tcMar>
            <w:shd w:fill="F1F3F3"/>
          </w:tcPr>
          <w:p>
            <w:pPr>
              <w:keepLines/>
              <w:spacing w:after="0"/>
            </w:pPr>
            <w:r/>
            <w:r>
              <w:rPr>
                <w:rFonts w:ascii="Times New Roman" w:hAnsi="Times New Roman"/>
                <w:sz w:val="17"/>
              </w:rPr>
              <w:t>Spannweiten und abweichende Begründungen bleiben in den Einzelbögen sichtbar; der Konsens ist gesondert begründet</w:t>
            </w:r>
          </w:p>
        </w:tc>
      </w:tr>
    </w:tbl>
    <w:p>
      <w:pPr>
        <w:spacing w:after="0" w:before="40"/>
      </w:pPr>
    </w:p>
    <w:p>
      <w:pPr>
        <w:pStyle w:val="Heading1"/>
        <w:keepNext/>
        <w:keepLines/>
      </w:pPr>
      <w:r>
        <w:t>7. Abschlusskontrollen</w:t>
      </w:r>
    </w:p>
    <w:tbl>
      <w:tblPr>
        <w:tblStyle w:val="TableGrid"/>
        <w:tblW w:type="dxa" w:w="9071"/>
        <w:jc w:val="left"/>
        <w:tblLayout w:type="fixed"/>
        <w:tblLook w:firstColumn="1" w:firstRow="1" w:lastColumn="0" w:lastRow="0" w:noHBand="0" w:noVBand="1" w:val="04A0"/>
      </w:tblPr>
      <w:tblGrid>
        <w:gridCol w:w="3268"/>
        <w:gridCol w:w="2535"/>
        <w:gridCol w:w="3268"/>
      </w:tblGrid>
      <w:tr>
        <w:trPr>
          <w:tblHeader w:val="true"/>
          <w:cantSplit/>
        </w:trPr>
        <w:tc>
          <w:tcPr>
            <w:tcW w:type="dxa" w:w="3268"/>
            <w:vAlign w:val="top"/>
            <w:tcMar>
              <w:top w:w="60" w:type="dxa"/>
              <w:start w:w="90" w:type="dxa"/>
              <w:bottom w:w="60" w:type="dxa"/>
              <w:end w:w="90" w:type="dxa"/>
            </w:tcMar>
            <w:shd w:fill="01696F"/>
          </w:tcPr>
          <w:p>
            <w:pPr>
              <w:keepLines/>
              <w:spacing w:after="0"/>
            </w:pPr>
            <w:r/>
            <w:r>
              <w:rPr>
                <w:rFonts w:ascii="Times New Roman" w:hAnsi="Times New Roman"/>
                <w:b/>
                <w:color w:val="FFFFFF"/>
                <w:sz w:val="17"/>
              </w:rPr>
              <w:t>Kontrolle</w:t>
            </w:r>
          </w:p>
        </w:tc>
        <w:tc>
          <w:tcPr>
            <w:tcW w:type="dxa" w:w="2535"/>
            <w:vAlign w:val="top"/>
            <w:tcMar>
              <w:top w:w="60" w:type="dxa"/>
              <w:start w:w="90" w:type="dxa"/>
              <w:bottom w:w="60" w:type="dxa"/>
              <w:end w:w="90" w:type="dxa"/>
            </w:tcMar>
            <w:shd w:fill="01696F"/>
          </w:tcPr>
          <w:p>
            <w:pPr>
              <w:keepLines/>
              <w:spacing w:after="0"/>
            </w:pPr>
            <w:r/>
            <w:r>
              <w:rPr>
                <w:rFonts w:ascii="Times New Roman" w:hAnsi="Times New Roman"/>
                <w:b/>
                <w:color w:val="FFFFFF"/>
                <w:sz w:val="17"/>
              </w:rPr>
              <w:t>Ergebnis</w:t>
            </w:r>
          </w:p>
        </w:tc>
        <w:tc>
          <w:tcPr>
            <w:tcW w:type="dxa" w:w="3268"/>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Beleg</w:t>
            </w:r>
          </w:p>
        </w:tc>
      </w:tr>
      <w:tr>
        <w:trPr>
          <w:cantSplit/>
        </w:trPr>
        <w:tc>
          <w:tcPr>
            <w:tcW w:type="dxa" w:w="3268"/>
            <w:vAlign w:val="top"/>
            <w:tcMar>
              <w:top w:w="60" w:type="dxa"/>
              <w:start w:w="90" w:type="dxa"/>
              <w:bottom w:w="60" w:type="dxa"/>
              <w:end w:w="90" w:type="dxa"/>
            </w:tcMar>
          </w:tcPr>
          <w:p>
            <w:pPr>
              <w:keepLines/>
              <w:spacing w:after="0"/>
            </w:pPr>
            <w:r/>
            <w:r>
              <w:rPr>
                <w:rFonts w:ascii="Times New Roman" w:hAnsi="Times New Roman"/>
                <w:sz w:val="17"/>
              </w:rPr>
              <w:t>Dateifreeze</w:t>
            </w:r>
          </w:p>
        </w:tc>
        <w:tc>
          <w:tcPr>
            <w:tcW w:type="dxa" w:w="2535"/>
            <w:vAlign w:val="top"/>
            <w:tcMar>
              <w:top w:w="60" w:type="dxa"/>
              <w:start w:w="90" w:type="dxa"/>
              <w:bottom w:w="60" w:type="dxa"/>
              <w:end w:w="90" w:type="dxa"/>
            </w:tcMar>
          </w:tcPr>
          <w:p>
            <w:pPr>
              <w:keepLines/>
              <w:spacing w:after="0"/>
            </w:pPr>
            <w:r/>
            <w:r>
              <w:rPr>
                <w:rFonts w:ascii="Times New Roman" w:hAnsi="Times New Roman"/>
                <w:sz w:val="17"/>
              </w:rPr>
              <w:t>bestanden</w:t>
            </w:r>
          </w:p>
        </w:tc>
        <w:tc>
          <w:tcPr>
            <w:tcW w:type="dxa" w:w="3268"/>
            <w:vAlign w:val="top"/>
            <w:tcMar>
              <w:top w:w="60" w:type="dxa"/>
              <w:start w:w="90" w:type="dxa"/>
              <w:bottom w:w="60" w:type="dxa"/>
              <w:end w:w="90" w:type="dxa"/>
            </w:tcMar>
          </w:tcPr>
          <w:p>
            <w:pPr>
              <w:keepLines/>
              <w:spacing w:after="0"/>
            </w:pPr>
            <w:r/>
            <w:r>
              <w:rPr>
                <w:rFonts w:ascii="Times New Roman" w:hAnsi="Times New Roman"/>
                <w:sz w:val="17"/>
              </w:rPr>
              <w:t>Portalexport FREEZE-20260422.xml</w:t>
            </w:r>
          </w:p>
        </w:tc>
      </w:tr>
      <w:tr>
        <w:trPr>
          <w:cantSplit/>
        </w:trPr>
        <w:tc>
          <w:tcPr>
            <w:tcW w:type="dxa" w:w="3268"/>
            <w:vAlign w:val="top"/>
            <w:tcMar>
              <w:top w:w="60" w:type="dxa"/>
              <w:start w:w="90" w:type="dxa"/>
              <w:bottom w:w="60" w:type="dxa"/>
              <w:end w:w="90" w:type="dxa"/>
            </w:tcMar>
            <w:shd w:fill="F1F3F3"/>
          </w:tcPr>
          <w:p>
            <w:pPr>
              <w:keepLines/>
              <w:spacing w:after="0"/>
            </w:pPr>
            <w:r/>
            <w:r>
              <w:rPr>
                <w:rFonts w:ascii="Times New Roman" w:hAnsi="Times New Roman"/>
                <w:sz w:val="17"/>
              </w:rPr>
              <w:t>Interessenabfrage Wertungsgruppe</w:t>
            </w:r>
          </w:p>
        </w:tc>
        <w:tc>
          <w:tcPr>
            <w:tcW w:type="dxa" w:w="2535"/>
            <w:vAlign w:val="top"/>
            <w:tcMar>
              <w:top w:w="60" w:type="dxa"/>
              <w:start w:w="90" w:type="dxa"/>
              <w:bottom w:w="60" w:type="dxa"/>
              <w:end w:w="90" w:type="dxa"/>
            </w:tcMar>
            <w:shd w:fill="F1F3F3"/>
          </w:tcPr>
          <w:p>
            <w:pPr>
              <w:keepLines/>
              <w:spacing w:after="0"/>
            </w:pPr>
            <w:r/>
            <w:r>
              <w:rPr>
                <w:rFonts w:ascii="Times New Roman" w:hAnsi="Times New Roman"/>
                <w:sz w:val="17"/>
              </w:rPr>
              <w:t>keine Konflikte erklärt</w:t>
            </w:r>
          </w:p>
        </w:tc>
        <w:tc>
          <w:tcPr>
            <w:tcW w:type="dxa" w:w="3268"/>
            <w:vAlign w:val="top"/>
            <w:tcMar>
              <w:top w:w="60" w:type="dxa"/>
              <w:start w:w="90" w:type="dxa"/>
              <w:bottom w:w="60" w:type="dxa"/>
              <w:end w:w="90" w:type="dxa"/>
            </w:tcMar>
            <w:shd w:fill="F1F3F3"/>
          </w:tcPr>
          <w:p>
            <w:pPr>
              <w:keepLines/>
              <w:spacing w:after="0"/>
            </w:pPr>
            <w:r/>
            <w:r>
              <w:rPr>
                <w:rFonts w:ascii="Times New Roman" w:hAnsi="Times New Roman"/>
                <w:sz w:val="17"/>
              </w:rPr>
              <w:t>Erklärungen I-1 bis I-3</w:t>
            </w:r>
          </w:p>
        </w:tc>
      </w:tr>
      <w:tr>
        <w:trPr>
          <w:cantSplit/>
        </w:trPr>
        <w:tc>
          <w:tcPr>
            <w:tcW w:type="dxa" w:w="3268"/>
            <w:vAlign w:val="top"/>
            <w:tcMar>
              <w:top w:w="60" w:type="dxa"/>
              <w:start w:w="90" w:type="dxa"/>
              <w:bottom w:w="60" w:type="dxa"/>
              <w:end w:w="90" w:type="dxa"/>
            </w:tcMar>
          </w:tcPr>
          <w:p>
            <w:pPr>
              <w:keepLines/>
              <w:spacing w:after="0"/>
            </w:pPr>
            <w:r/>
            <w:r>
              <w:rPr>
                <w:rFonts w:ascii="Times New Roman" w:hAnsi="Times New Roman"/>
                <w:sz w:val="17"/>
              </w:rPr>
              <w:t>Angebotsfundstellen</w:t>
            </w:r>
          </w:p>
        </w:tc>
        <w:tc>
          <w:tcPr>
            <w:tcW w:type="dxa" w:w="2535"/>
            <w:vAlign w:val="top"/>
            <w:tcMar>
              <w:top w:w="60" w:type="dxa"/>
              <w:start w:w="90" w:type="dxa"/>
              <w:bottom w:w="60" w:type="dxa"/>
              <w:end w:w="90" w:type="dxa"/>
            </w:tcMar>
          </w:tcPr>
          <w:p>
            <w:pPr>
              <w:keepLines/>
              <w:spacing w:after="0"/>
            </w:pPr>
            <w:r/>
            <w:r>
              <w:rPr>
                <w:rFonts w:ascii="Times New Roman" w:hAnsi="Times New Roman"/>
                <w:sz w:val="17"/>
              </w:rPr>
              <w:t>vollständig</w:t>
            </w:r>
          </w:p>
        </w:tc>
        <w:tc>
          <w:tcPr>
            <w:tcW w:type="dxa" w:w="3268"/>
            <w:vAlign w:val="top"/>
            <w:tcMar>
              <w:top w:w="60" w:type="dxa"/>
              <w:start w:w="90" w:type="dxa"/>
              <w:bottom w:w="60" w:type="dxa"/>
              <w:end w:w="90" w:type="dxa"/>
            </w:tcMar>
          </w:tcPr>
          <w:p>
            <w:pPr>
              <w:keepLines/>
              <w:spacing w:after="0"/>
            </w:pPr>
            <w:r/>
            <w:r>
              <w:rPr>
                <w:rFonts w:ascii="Times New Roman" w:hAnsi="Times New Roman"/>
                <w:sz w:val="17"/>
              </w:rPr>
              <w:t>Fundstellenregister Version 06</w:t>
            </w:r>
          </w:p>
        </w:tc>
      </w:tr>
      <w:tr>
        <w:trPr>
          <w:cantSplit/>
        </w:trPr>
        <w:tc>
          <w:tcPr>
            <w:tcW w:type="dxa" w:w="3268"/>
            <w:vAlign w:val="top"/>
            <w:tcMar>
              <w:top w:w="60" w:type="dxa"/>
              <w:start w:w="90" w:type="dxa"/>
              <w:bottom w:w="60" w:type="dxa"/>
              <w:end w:w="90" w:type="dxa"/>
            </w:tcMar>
            <w:shd w:fill="F1F3F3"/>
          </w:tcPr>
          <w:p>
            <w:pPr>
              <w:keepLines/>
              <w:spacing w:after="0"/>
            </w:pPr>
            <w:r/>
            <w:r>
              <w:rPr>
                <w:rFonts w:ascii="Times New Roman" w:hAnsi="Times New Roman"/>
                <w:sz w:val="17"/>
              </w:rPr>
              <w:t>Rechenkontrolle</w:t>
            </w:r>
          </w:p>
        </w:tc>
        <w:tc>
          <w:tcPr>
            <w:tcW w:type="dxa" w:w="2535"/>
            <w:vAlign w:val="top"/>
            <w:tcMar>
              <w:top w:w="60" w:type="dxa"/>
              <w:start w:w="90" w:type="dxa"/>
              <w:bottom w:w="60" w:type="dxa"/>
              <w:end w:w="90" w:type="dxa"/>
            </w:tcMar>
            <w:shd w:fill="F1F3F3"/>
          </w:tcPr>
          <w:p>
            <w:pPr>
              <w:keepLines/>
              <w:spacing w:after="0"/>
            </w:pPr>
            <w:r/>
            <w:r>
              <w:rPr>
                <w:rFonts w:ascii="Times New Roman" w:hAnsi="Times New Roman"/>
                <w:sz w:val="17"/>
              </w:rPr>
              <w:t>keine Abweichung</w:t>
            </w:r>
          </w:p>
        </w:tc>
        <w:tc>
          <w:tcPr>
            <w:tcW w:type="dxa" w:w="3268"/>
            <w:vAlign w:val="top"/>
            <w:tcMar>
              <w:top w:w="60" w:type="dxa"/>
              <w:start w:w="90" w:type="dxa"/>
              <w:bottom w:w="60" w:type="dxa"/>
              <w:end w:w="90" w:type="dxa"/>
            </w:tcMar>
            <w:shd w:fill="F1F3F3"/>
          </w:tcPr>
          <w:p>
            <w:pPr>
              <w:keepLines/>
              <w:spacing w:after="0"/>
            </w:pPr>
            <w:r/>
            <w:r>
              <w:rPr>
                <w:rFonts w:ascii="Times New Roman" w:hAnsi="Times New Roman"/>
                <w:sz w:val="17"/>
              </w:rPr>
              <w:t>Kontrollblatt IR-08</w:t>
            </w:r>
          </w:p>
        </w:tc>
      </w:tr>
      <w:tr>
        <w:trPr>
          <w:cantSplit/>
        </w:trPr>
        <w:tc>
          <w:tcPr>
            <w:tcW w:type="dxa" w:w="3268"/>
            <w:vAlign w:val="top"/>
            <w:tcMar>
              <w:top w:w="60" w:type="dxa"/>
              <w:start w:w="90" w:type="dxa"/>
              <w:bottom w:w="60" w:type="dxa"/>
              <w:end w:w="90" w:type="dxa"/>
            </w:tcMar>
          </w:tcPr>
          <w:p>
            <w:pPr>
              <w:keepLines/>
              <w:spacing w:after="0"/>
            </w:pPr>
            <w:r/>
            <w:r>
              <w:rPr>
                <w:rFonts w:ascii="Times New Roman" w:hAnsi="Times New Roman"/>
                <w:sz w:val="17"/>
              </w:rPr>
              <w:t>Freigabe</w:t>
            </w:r>
          </w:p>
        </w:tc>
        <w:tc>
          <w:tcPr>
            <w:tcW w:type="dxa" w:w="2535"/>
            <w:vAlign w:val="top"/>
            <w:tcMar>
              <w:top w:w="60" w:type="dxa"/>
              <w:start w:w="90" w:type="dxa"/>
              <w:bottom w:w="60" w:type="dxa"/>
              <w:end w:w="90" w:type="dxa"/>
            </w:tcMar>
          </w:tcPr>
          <w:p>
            <w:pPr>
              <w:keepLines/>
              <w:spacing w:after="0"/>
            </w:pPr>
            <w:r/>
            <w:r>
              <w:rPr>
                <w:rFonts w:ascii="Times New Roman" w:hAnsi="Times New Roman"/>
                <w:sz w:val="17"/>
              </w:rPr>
              <w:t>einstimmig</w:t>
            </w:r>
          </w:p>
        </w:tc>
        <w:tc>
          <w:tcPr>
            <w:tcW w:type="dxa" w:w="3268"/>
            <w:vAlign w:val="top"/>
            <w:tcMar>
              <w:top w:w="60" w:type="dxa"/>
              <w:start w:w="90" w:type="dxa"/>
              <w:bottom w:w="60" w:type="dxa"/>
              <w:end w:w="90" w:type="dxa"/>
            </w:tcMar>
          </w:tcPr>
          <w:p>
            <w:pPr>
              <w:keepLines/>
              <w:spacing w:after="0"/>
            </w:pPr>
            <w:r/>
            <w:r>
              <w:rPr>
                <w:rFonts w:ascii="Times New Roman" w:hAnsi="Times New Roman"/>
                <w:sz w:val="17"/>
              </w:rPr>
              <w:t>Signaturblatt vom 07.08.2026</w:t>
            </w:r>
          </w:p>
        </w:tc>
      </w:tr>
    </w:tbl>
    <w:p>
      <w:pPr>
        <w:spacing w:after="0" w:before="40"/>
      </w:pPr>
    </w:p>
    <w:p>
      <w:pPr>
        <w:keepLines/>
      </w:pPr>
      <w:r>
        <w:t>Dr. Jana Mertens; Robert Ahrens; Katja Linde</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LH-SN-Cyber-SOC-NSV-2026 / Wertung-06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Landeshauptstadt Schwerin - Eigenbetrieb SDS</w:t>
      <w:t xml:space="preserve">  |  LH-SN-Cyber-SOC-NSV-2026 / Wertung-06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Reproduzierbare Neuwertung der Fach- und Reaktionskonzepte</dc:title>
  <dc:subject>Einzelwertungsbögen und Konsensprotokoll | Az. LH-SN-Cyber-SOC-NSV-2026 / Wertung-06</dc:subject>
  <dc:creator>Landeshauptstadt Schwerin - Eigenbetrieb SDS</dc:creator>
  <cp:keywords>Vergaberecht, LH-SN-Cyber-SOC-NSV-2026 / Wertung-06, Einzelwertungsbögen und Konsensprotokoll</cp:keywords>
  <dc:description>generated by python-docx</dc:description>
  <cp:lastModifiedBy>Landeshauptstadt Schwerin - Eigenbetrieb SDS</cp:lastModifiedBy>
  <cp:revision>1</cp:revision>
  <dcterms:created xsi:type="dcterms:W3CDTF">2000-01-01T00:00:00Z</dcterms:created>
  <dcterms:modified xsi:type="dcterms:W3CDTF">2000-01-01T00:00:00Z</dcterms:modified>
  <cp:category>Vergabeakte</cp:category>
</cp:coreProperties>
</file>