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Kanzlei Bährens Vergaberecht für CyberShield Defense GmbH</w:t>
      </w:r>
    </w:p>
    <w:p>
      <w:r>
        <w:t>Unter den Linden 48, 10117 Berlin</w:t>
      </w:r>
    </w:p>
    <w:p>
      <w:pPr>
        <w:jc w:val="right"/>
      </w:pPr>
      <w:r>
        <w:t>Datum: 24.04.2026</w:t>
      </w:r>
    </w:p>
    <w:p>
      <w:pPr>
        <w:jc w:val="right"/>
      </w:pPr>
      <w:r>
        <w:t>Aktenzeichen: 3 VK 4/26</w:t>
      </w:r>
    </w:p>
    <w:p>
      <w:r>
        <w:t>An: 3. Vergabekammer Mecklenburg-Vorpommern</w:t>
      </w:r>
    </w:p>
    <w:p/>
    <w:p>
      <w:r>
        <w:rPr>
          <w:b/>
        </w:rPr>
        <w:t>Betreff: Nachprüfungsantrag im Verfahren LH-SN-Cyber-SOC-NSV-2026</w:t>
      </w:r>
    </w:p>
    <w:p/>
    <w:p>
      <w:r>
        <w:t>Aktenzeichen der Kammer: 3 VK 4/26 Vergabeverfahren: LH-SN-Cyber-SOC-NSV-2026 Eingang: 24.04.2026</w:t>
      </w:r>
    </w:p>
    <w:p>
      <w:r>
        <w:t>Per beA und vorab per E-Mail</w:t>
      </w:r>
    </w:p>
    <w:p>
      <w:r>
        <w:t>An die Vergabekammern des Landes Mecklenburg-Vorpommern bei dem Ministerium für Wirtschaft, Infrastruktur, Tourismus und Arbeit Johannes-Stelling-Straße 14 19053 Schwerin</w:t>
      </w:r>
    </w:p>
    <w:p>
      <w:r>
        <w:rPr>
          <w:b/>
        </w:rPr>
        <w:t>Nachprüfungsantrag nach §§ 160 ff. GWB</w:t>
      </w:r>
    </w:p>
    <w:p>
      <w:r>
        <w:t>Antragstellerin: CyberShield Defense GmbH, Berlin Antragsgegnerin: Landeshauptstadt Schwerin, Eigenbetrieb SDS Beizuladendes Unternehmen: ProtectIT SE, Bonn</w:t>
      </w:r>
    </w:p>
    <w:p>
      <w:r>
        <w:rPr>
          <w:b/>
        </w:rPr>
        <w:t>1. Anträge</w:t>
      </w:r>
    </w:p>
    <w:p>
      <w:r>
        <w:t>Die Antragstellerin beantragt,</w:t>
      </w:r>
    </w:p>
    <w:p>
      <w:pPr>
        <w:pStyle w:val="ListBullet"/>
      </w:pPr>
      <w:r>
        <w:t>der Antragsgegnerin zu untersagen, den Zuschlag auf Grundlage der bisherigen Eignungsprüfung und Wertung zu erteilen,</w:t>
      </w:r>
    </w:p>
    <w:p>
      <w:pPr>
        <w:pStyle w:val="ListBullet"/>
      </w:pPr>
      <w:r>
        <w:t>die Antragsgegnerin zu verpflichten, den Ausschluss der Antragstellerin aufzuheben und deren Eignung anhand der bekannt gemachten Kriterien neu zu prüfen,</w:t>
      </w:r>
    </w:p>
    <w:p>
      <w:pPr>
        <w:pStyle w:val="ListBullet"/>
      </w:pPr>
      <w:r>
        <w:t>bei der Neuwertung ausschließlich fristgerecht eingereichte Angebotsinhalte zu berücksichtigen,</w:t>
      </w:r>
    </w:p>
    <w:p>
      <w:pPr>
        <w:pStyle w:val="ListBullet"/>
      </w:pPr>
      <w:r>
        <w:t>der Antragstellerin nach § 165 GWB Einsicht in die entscheidungserheblichen Teile der Vergabeakte zu gewähren, soweit schutzwürdige Geheimnisse nicht entgegenstehen, und</w:t>
      </w:r>
    </w:p>
    <w:p>
      <w:pPr>
        <w:pStyle w:val="ListBullet"/>
      </w:pPr>
      <w:r>
        <w:t>der Antragsgegnerin die Kosten des Verfahrens sowie die notwendigen Aufwendungen der Antragstellerin aufzuerlegen.</w:t>
      </w:r>
    </w:p>
    <w:p>
      <w:r>
        <w:rPr>
          <w:b/>
        </w:rPr>
        <w:t>2. Zuständigkeit</w:t>
      </w:r>
    </w:p>
    <w:p>
      <w:r>
        <w:t>Die Nachprüfung betrifft einen dem Land Mecklenburg-Vorpommern zuzurechnenden kommunalen Auftraggeber mit Sitz in Schwerin. Zuständig sind deshalb nach § 159 Abs. 2 und 3 GWB die Vergabekammern des Landes Mecklenburg-Vorpommern. Weder der Leistungsgegenstand IT-Sicherheit noch die Eigenschaft eines Leistungsempfängers als Betreiber kritischer Anlagen begründet eine Zuständigkeit der Vergabekammern des Bundes.</w:t>
      </w:r>
    </w:p>
    <w:p>
      <w:r>
        <w:t>Der geschätzte Gesamtauftragswert einschließlich Optionen liegt mit 2.800.000 EUR netto oberhalb des für 2026 maßgeblichen EU-Schwellenwerts. Maßgeblich sind § 106 GWB, § 3 VgV und die für den Zeitraum 2026/2027 geltende EU-Schwellenwertverordnung.</w:t>
      </w:r>
    </w:p>
    <w:p>
      <w:r>
        <w:rPr>
          <w:b/>
        </w:rPr>
        <w:t>3. Zulässigkeit</w:t>
      </w:r>
    </w:p>
    <w:p>
      <w:r>
        <w:t>CyberShield hat ein Angebot abgegeben und macht eine Verletzung von § 97 Abs. 1 und 2 sowie § 122 Abs. 4 GWB geltend. Bei einer Prüfung nach dem veröffentlichten Kriterium T-2 besteht eine reale Zuschlagschance; der drohende Schaden ist damit schlüssig dargelegt (§ 160 Abs. 2 GWB).</w:t>
      </w:r>
    </w:p>
    <w:p>
      <w:r>
        <w:t>Das Ausschlussschreiben ging am 14.04.2026 zu. Die konkrete, erst im Ausschlussschreiben erkennbare Verschärfung des Kriteriums wurde am 17.04.2026 und damit innerhalb von zehn Kalendertagen gerügt (§ 160 Abs. 3 Satz 1 Nr. 1 GWB). Die eindeutige Nichtabhilfe ging am 22.04.2026 zu. Der Antrag vom 24.04.2026 wahrt auch die 15-Kalendertage-Frist des § 160 Abs. 3 Satz 1 Nr. 4 GWB.</w:t>
      </w:r>
    </w:p>
    <w:p>
      <w:r>
        <w:rPr>
          <w:b/>
        </w:rPr>
        <w:t>4. Begründetheit</w:t>
      </w:r>
    </w:p>
    <w:p>
      <w:r>
        <w:rPr>
          <w:b/>
        </w:rPr>
        <w:t>4.1 Anwendung eines nicht bekannt gemachten Ausschlusskriteriums</w:t>
      </w:r>
    </w:p>
    <w:p>
      <w:r>
        <w:t>T-2 verlangt Referenzen bei öffentlichen Auftraggebern oder Betreibern kritischer Anlagen und bezeichnet den Sektor Verkehr oder Energie als bevorzugt. Erst das Ausschlussschreiben macht unmittelbare Erfahrung mit einem Fahrzeug- und Leitstellenbetreiber zur Muss-Anforderung. Diese nachträgliche Verengung ist mit Transparenz, Gleichbehandlung und Verhältnismäßigkeit unvereinbar.</w:t>
      </w:r>
    </w:p>
    <w:p>
      <w:r>
        <w:t>Vergabeunterlagen sind aus Sicht eines fachkundigen, verständigen Bieters auszulegen. Tragende Anker sind BGH, Urteil vom 20.11.2012, X ZR 108/10, Friedhofserweiterung, und BGH, Urteil vom 13.09.2022, XIII ZR 9/20, Deponiekosten.</w:t>
      </w:r>
    </w:p>
    <w:p>
      <w:r>
        <w:rPr>
          <w:b/>
        </w:rPr>
        <w:t>4.2 Fehlerhafte Referenzprüfung</w:t>
      </w:r>
    </w:p>
    <w:p>
      <w:r>
        <w:t>Die Vergabestelle hat Tätigkeiten, Laufzeit, Auftragswert und technische Vergleichbarkeit der VVS-Referenz nicht vollständig gewürdigt. Sie hat stattdessen eine nicht veröffentlichte Auftraggebertypologie zum Ausschlussgrund erhoben. Das verletzt § 122 Abs. 4 GWB und § 46 Abs. 3 Nr. 1 VgV.</w:t>
      </w:r>
    </w:p>
    <w:p>
      <w:r>
        <w:rPr>
          <w:b/>
        </w:rPr>
        <w:t>4.3 Nachträgliche Angebotsänderung</w:t>
      </w:r>
    </w:p>
    <w:p>
      <w:r>
        <w:t>ProtectIT reichte nach dem Aufklärungsgespräch eine neue Fassung des Reaktionszeitenkonzepts ein. § 15 Abs. 5 VgV erlaubt Aufklärung, aber keine Änderung des Angebots. Ob eine bloße Erläuterung oder eine inhaltliche Neufassung vorliegt, ist durch Versionsvergleich und Protokoll zu klären.</w:t>
      </w:r>
    </w:p>
    <w:p>
      <w:r>
        <w:rPr>
          <w:b/>
        </w:rPr>
        <w:t>5. Akteneinsicht und Beweise</w:t>
      </w:r>
    </w:p>
    <w:p>
      <w:r>
        <w:t>Beantragt wird Einsicht in das Eignungsprüfblatt, den Wertungsvermerk, beide Versionen des ProtectIT-Konzepts, das Aufklärungsprotokoll und die dokumentierte Entscheidung über T-2. Geschäftsgeheimnisse können nach § 165 GWB geschwärzt werden; die tragenden Wertungstatsachen dürfen nicht pauschal entzogen werden.</w:t>
      </w:r>
    </w:p>
    <w:p>
      <w:r>
        <w:t>Anlagen:</w:t>
      </w:r>
    </w:p>
    <w:p>
      <w:pPr>
        <w:pStyle w:val="ListBullet"/>
      </w:pPr>
      <w:r>
        <w:t>Ausschlussschreiben und Zugangsnachweis</w:t>
      </w:r>
    </w:p>
    <w:p>
      <w:pPr>
        <w:pStyle w:val="ListBullet"/>
      </w:pPr>
      <w:r>
        <w:t>Rüge und Versandprotokoll</w:t>
      </w:r>
    </w:p>
    <w:p>
      <w:pPr>
        <w:pStyle w:val="ListBullet"/>
      </w:pPr>
      <w:r>
        <w:t>Nichtabhilfe und Zugangsnachweis</w:t>
      </w:r>
    </w:p>
    <w:p>
      <w:pPr>
        <w:pStyle w:val="ListBullet"/>
      </w:pPr>
      <w:r>
        <w:t>Kriterium T-2</w:t>
      </w:r>
    </w:p>
    <w:p>
      <w:pPr>
        <w:pStyle w:val="ListBullet"/>
      </w:pPr>
      <w:r>
        <w:t>Referenzblätter und Bestätigungen</w:t>
      </w:r>
    </w:p>
    <w:p>
      <w:pPr>
        <w:pStyle w:val="ListBullet"/>
      </w:pPr>
      <w:r>
        <w:t>Angebots- und Chancenmatrix</w:t>
      </w:r>
    </w:p>
    <w:p>
      <w:pPr>
        <w:pStyle w:val="ListBullet"/>
      </w:pPr>
      <w:r>
        <w:t>Vollmacht</w:t>
      </w:r>
    </w:p>
    <w:p>
      <w:r>
        <w:t>Dr. Constantin Bährens Rechtsanwalt</w:t>
      </w:r>
    </w:p>
    <w:sectPr w:rsidR="00FC693F" w:rsidRPr="0006063C" w:rsidSect="00034616">
      <w:pgSz w:w="12240" w:h="15840"/>
      <w:pgMar w:top="1417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Nachprüfungsantrag CyberShield Defense GmbH</dc:title>
  <dc:subject>Nachprüfungsantrag | Az. 3 VK 4/26</dc:subject>
  <dc:creator>Bährens Vergaberecht Rechtsanwaltsgesellschaft mbH</dc:creator>
  <cp:keywords>Vergaberecht, IT-Sicherheitsvergabe, Nachprüfung</cp:keywords>
  <dc:description>generated by python-docx</dc:description>
  <cp:lastModifiedBy>Bährens Vergaberecht Rechtsanwaltsgesellschaft 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