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Kanzlei Bährens Vergaberecht für CyberShield Defense GmbH</w:t>
      </w:r>
    </w:p>
    <w:p>
      <w:r>
        <w:t>Unter den Linden 48, 10117 Berlin</w:t>
      </w:r>
    </w:p>
    <w:p>
      <w:pPr>
        <w:jc w:val="right"/>
      </w:pPr>
      <w:r>
        <w:t>Datum: 17.04.2026</w:t>
      </w:r>
    </w:p>
    <w:p>
      <w:pPr>
        <w:jc w:val="right"/>
      </w:pPr>
      <w:r>
        <w:t>Aktenzeichen: LH-SN-Cyber-SOC-NSV-2026</w:t>
      </w:r>
    </w:p>
    <w:p>
      <w:r>
        <w:t>An: Landeshauptstadt Schwerin - Eigenbetrieb SDS - Vergabestelle</w:t>
      </w:r>
    </w:p>
    <w:p/>
    <w:p>
      <w:r>
        <w:rPr>
          <w:b/>
        </w:rPr>
        <w:t>Betreff: Rüge des Ausschlusses und der Angebotsaufklärung</w:t>
      </w:r>
    </w:p>
    <w:p/>
    <w:p>
      <w:r>
        <w:t>Vergabeverfahren: LH-SN-Cyber-SOC-NSV-2026 Datum: 17.04.2026 Von: Kanzlei Bährens Vergaberecht für CyberShield Defense GmbH An: Landeshauptstadt Schwerin, Eigenbetrieb SDS, Vergabestelle</w:t>
      </w:r>
    </w:p>
    <w:p>
      <w:r>
        <w:t>Per E-Mail über die Vergabeplattform mit Versandprotokoll</w:t>
      </w:r>
    </w:p>
    <w:p>
      <w:r>
        <w:t>Landeshauptstadt Schwerin Eigenbetrieb SDS - Vergabestelle Am Grünen Tal 18 19063 Schwerin</w:t>
      </w:r>
    </w:p>
    <w:p>
      <w:r>
        <w:t>Berlin, 17. April 2026</w:t>
      </w:r>
    </w:p>
    <w:p>
      <w:r>
        <w:rPr>
          <w:b/>
        </w:rPr>
        <w:t>Rüge nach § 160 Abs. 3 Satz 1 Nr. 1 GWB</w:t>
      </w:r>
    </w:p>
    <w:p>
      <w:r>
        <w:t>Vergabeverfahren LH-SN-Cyber-SOC-NSV-2026, TED 2026/S 042-XXXXXX Cybersecurity-Operations-Center und IT-Sicherheitsberatung</w:t>
      </w:r>
    </w:p>
    <w:p>
      <w:r>
        <w:t>Sehr geehrte Frau Behnke, sehr geehrte Damen und Herren,</w:t>
      </w:r>
    </w:p>
    <w:p>
      <w:r>
        <w:t>wir vertreten die CyberShield Defense GmbH. Das Ausschlussschreiben ist unserer Mandantin am 14.04.2026 über die Vergabeplattform zugegangen. Innerhalb der Zehn-Kalendertage-Frist des § 160 Abs. 3 Satz 1 Nr. 1 GWB rügen wir die nachfolgend bezeichneten Vergabeverstöße.</w:t>
      </w:r>
    </w:p>
    <w:p>
      <w:r>
        <w:rPr>
          <w:b/>
        </w:rPr>
        <w:t>1. Nachträgliche Verschärfung des Eignungskriteriums T-2</w:t>
      </w:r>
    </w:p>
    <w:p>
      <w:r>
        <w:t>Die Unterlagen verlangen drei Referenzen bei öffentlichen Auftraggebern oder Betreibern kritischer Anlagen und bezeichnen Erfahrungen im Sektor Verkehr oder Energie lediglich als bevorzugt. Der Ausschluss stützt sich dagegen auf eine nicht bekannt gemachte Muss-Anforderung: unmittelbare Erfahrung eines Referenzgebers mit eigenem Bus-, Bahn- und Leitstellenbetrieb.</w:t>
      </w:r>
    </w:p>
    <w:p>
      <w:r>
        <w:t>Ein fachkundiges Unternehmen durfte das Wort bevorzugt nicht als Ausschlusskriterium verstehen. Maßgeblich ist der objektive Empfängerhorizont, nicht eine erst bei der Eignungsprüfung gebildete engere Lesart. Siehe BGH, Urteil vom 20.11.2012, X ZR 108/10, Friedhofserweiterung, und BGH, Urteil vom 13.09.2022, XIII ZR 9/20, Deponiekosten. Der Ausschluss verletzt damit § 97 Abs. 1 und 2 sowie § 122 Abs. 4 GWB in Verbindung mit §§ 42 und 46 VgV.</w:t>
      </w:r>
    </w:p>
    <w:p>
      <w:r>
        <w:rPr>
          <w:b/>
        </w:rPr>
        <w:t>2. Unvollständige Prüfung der Referenz VVS</w:t>
      </w:r>
    </w:p>
    <w:p>
      <w:r>
        <w:t>Die Referenzbestätigung dokumentiert ISMS-Aufbau, Sicherheitsmonitoring und Incident-Prozesse für einen ÖPNV-Verbund. Das Ausschlussschreiben setzt sich weder mit diesen Tätigkeiten noch mit Umfang, Laufzeit und technischer Vergleichbarkeit auseinander. Die Vergabestelle muss die bekannt gemachten Anforderungen anwenden und die tragenden Tatsachen im Vergabevermerk nachvollziehbar festhalten.</w:t>
      </w:r>
    </w:p>
    <w:p>
      <w:r>
        <w:rPr>
          <w:b/>
        </w:rPr>
        <w:t>3. Verdacht einer unzulässigen Angebotsänderung</w:t>
      </w:r>
    </w:p>
    <w:p>
      <w:r>
        <w:t>Nach den verfügbaren Informationen hat ProtectIT SE nach Angebotsöffnung eine überarbeitete Fassung des Reaktionszeitenkonzepts eingereicht. Eine Aufklärung nach § 15 Abs. 5 VgV darf Unklarheiten beseitigen, aber weder Preis noch sonstigen Angebotsinhalt ändern. Wir rügen vorsorglich die Berücksichtigung jeder nach Fristablauf eingereichten inhaltlichen Neufassung.</w:t>
      </w:r>
    </w:p>
    <w:p>
      <w:r>
        <w:rPr>
          <w:b/>
        </w:rPr>
        <w:t>4. Abhilfe</w:t>
      </w:r>
    </w:p>
    <w:p>
      <w:r>
        <w:t>CyberShield verlangt,</w:t>
      </w:r>
    </w:p>
    <w:p>
      <w:pPr>
        <w:pStyle w:val="ListBullet"/>
      </w:pPr>
      <w:r>
        <w:t>den Ausschluss aufzuheben und ihre Referenzen anhand des veröffentlichten Kriteriums T-2 neu zu prüfen,</w:t>
      </w:r>
    </w:p>
    <w:p>
      <w:pPr>
        <w:pStyle w:val="ListBullet"/>
      </w:pPr>
      <w:r>
        <w:t>die Neuwertung vollständig im Vergabevermerk zu dokumentieren,</w:t>
      </w:r>
    </w:p>
    <w:p>
      <w:pPr>
        <w:pStyle w:val="ListBullet"/>
      </w:pPr>
      <w:r>
        <w:t>bei ProtectIT ausschließlich das fristgerecht eingereichte Angebot zu berücksichtigen und</w:t>
      </w:r>
    </w:p>
    <w:p>
      <w:pPr>
        <w:pStyle w:val="ListBullet"/>
      </w:pPr>
      <w:r>
        <w:t>vor Abschluss der Prüfung keinen Zuschlag zu erteilen.</w:t>
      </w:r>
    </w:p>
    <w:p>
      <w:r>
        <w:t>Bitte teilen Sie bis zum 22.04.2026 mit, ob Sie abhelfen. Diese organisatorische Antwortfrist ersetzt keine gesetzliche Frist. Für § 160 Abs. 3 Satz 1 Nr. 4 GWB ist erst eine Mitteilung der Vergabestelle maßgeblich, der Rüge nicht abhelfen zu wollen; ab deren Zugang läuft die dort geregelte Frist von 15 Kalendertagen.</w:t>
      </w:r>
    </w:p>
    <w:p>
      <w:r>
        <w:t>Mit freundlichen Grüßen</w:t>
      </w:r>
    </w:p>
    <w:p>
      <w:r>
        <w:t>Dr. Constantin Bährens Rechtsanwalt</w:t>
      </w:r>
    </w:p>
    <w:p>
      <w:r>
        <w:t>Anlagen:</w:t>
      </w:r>
    </w:p>
    <w:p>
      <w:pPr>
        <w:pStyle w:val="ListBullet"/>
      </w:pPr>
      <w:r>
        <w:t>Vollmacht</w:t>
      </w:r>
    </w:p>
    <w:p>
      <w:pPr>
        <w:pStyle w:val="ListBullet"/>
      </w:pPr>
      <w:r>
        <w:t>Ausschlussschreiben mit Plattform-Zugangsnachweis</w:t>
      </w:r>
    </w:p>
    <w:p>
      <w:pPr>
        <w:pStyle w:val="ListBullet"/>
      </w:pPr>
      <w:r>
        <w:t>Kriterium T-2 und Referenzbestätigungen</w:t>
      </w:r>
    </w:p>
    <w:p>
      <w:pPr>
        <w:pStyle w:val="ListBullet"/>
      </w:pPr>
      <w:r>
        <w:t>Chronologie und Belegmatrix</w:t>
      </w:r>
    </w:p>
    <w:sectPr w:rsidR="00FC693F" w:rsidRPr="0006063C" w:rsidSect="00034616">
      <w:pgSz w:w="12240" w:h="15840"/>
      <w:pgMar w:top="1417"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Rüge nach § 160 Abs. 3 GWB</dc:title>
  <dc:subject>Rügeschreiben | Az. LH-SN-Cyber-SOC-NSV-2026</dc:subject>
  <dc:creator>Bährens Vergaberecht Rechtsanwaltsgesellschaft mbH</dc:creator>
  <cp:keywords>Vergaberecht, IT-Sicherheitsvergabe, Nachprüfung</cp:keywords>
  <dc:description>generated by python-docx</dc:description>
  <cp:lastModifiedBy>Bährens Vergaberecht Rechtsanwaltsgesellschaft mbH</cp:lastModifiedBy>
  <cp:revision>1</cp:revision>
  <dcterms:created xsi:type="dcterms:W3CDTF">2000-01-01T00:00:00Z</dcterms:created>
  <dcterms:modified xsi:type="dcterms:W3CDTF">2000-01-01T00:00:00Z</dcterms:modified>
  <cp:category>Vergabeakte</cp:category>
</cp:coreProperties>
</file>