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Kanzlei Vergaberecht Nord für die Landeshauptstadt Schwerin</w:t>
      </w:r>
    </w:p>
    <w:p>
      <w:r>
        <w:t>Kröpeliner Straße 90, 18055 Rostock</w:t>
      </w:r>
    </w:p>
    <w:p>
      <w:pPr>
        <w:jc w:val="right"/>
      </w:pPr>
      <w:r>
        <w:t>Datum: 09.06.2026</w:t>
      </w:r>
    </w:p>
    <w:p>
      <w:pPr>
        <w:jc w:val="right"/>
      </w:pPr>
      <w:r>
        <w:t>Aktenzeichen: 3 VK 4/26</w:t>
      </w:r>
    </w:p>
    <w:p>
      <w:r>
        <w:t>An: Kanzlei Bährens Vergaberecht für CyberShield Defense GmbH</w:t>
      </w:r>
    </w:p>
    <w:p/>
    <w:p>
      <w:r>
        <w:rPr>
          <w:b/>
        </w:rPr>
        <w:t>Betreff: Vergleichsvorschlag im Nachprüfungsverfahren</w:t>
      </w:r>
    </w:p>
    <w:p/>
    <w:p>
      <w:r>
        <w:t>Aktenzeichen: 3 VK 4/26 Vorhabenbezeichnung: LH-SN-Cyber-SOC-NSV-2026 Datum: 09.06.2026 Von: RAin Dr. Sandra Mertke (für Antragsgegnerin) An: RA Dr. Constantin Bährens (für Antragstellerin)</w:t>
      </w:r>
    </w:p>
    <w:p>
      <w:r>
        <w:rPr>
          <w:b/>
        </w:rPr>
        <w:t>Vergleichsvorschlag im Nachprüfungsverfahren 3 VK 4/26</w:t>
      </w:r>
    </w:p>
    <w:p>
      <w:r>
        <w:t>In dem Nachprüfungsverfahren unterbreitet die Antragsgegnerin (Landeshauptstadt Schwerin / SDS) der Antragstellerin (CyberShield Defense GmbH) folgenden Vergleichsvorschlag:</w:t>
      </w:r>
    </w:p>
    <w:p>
      <w:r>
        <w:rPr>
          <w:b/>
        </w:rPr>
        <w:t>Vorschlag der Antragsgegnerin</w:t>
      </w:r>
    </w:p>
    <w:p>
      <w:r>
        <w:t>Die Antragsgegnerin ist bereit:</w:t>
      </w:r>
    </w:p>
    <w:p>
      <w:pPr>
        <w:pStyle w:val="ListBullet"/>
      </w:pPr>
      <w:r>
        <w:t>Neubewertung der Eignung: Das Angebot der CyberShield Defense GmbH wird erneut der Eignungsprüfung unterzogen. Die Vergabestelle erkennt an, dass die Formulierung "bevorzugt im Sektor Verkehr" in T-2 kein zwingend ausschlussauslösendes KO-Kriterium begründet.</w:t>
      </w:r>
    </w:p>
    <w:p>
      <w:pPr>
        <w:pStyle w:val="ListBullet"/>
      </w:pPr>
      <w:r>
        <w:t>Zulassung zur Wertung: Erweist sich CyberShield bei erneuter Prüfung als geeignet, wird ihr Angebot in die Wertung nach den Zuschlagskriterien ZK-1 bis ZK-5 einbezogen.</w:t>
      </w:r>
    </w:p>
    <w:p>
      <w:pPr>
        <w:pStyle w:val="ListBullet"/>
      </w:pPr>
      <w:r>
        <w:t>Akteneinsicht zum Aufklärungsgespräch: Die Vergabestelle legt der Vergabekammer das vollständige Protokoll und beide Fassungen des Reaktionszeitenkonzepts vor. Die Antragstellerin erhält nach § 165 GWB Einsicht in die entscheidungserheblichen Teile; Geschäftsgeheimnisse werden nur so weit geschwärzt, wie ihr Schutz die Einsicht überwiegt.</w:t>
      </w:r>
    </w:p>
    <w:p>
      <w:pPr>
        <w:pStyle w:val="ListBullet"/>
      </w:pPr>
      <w:r>
        <w:t>Prüfung Reaktionszeitenkonzept ProtectIT: Die Vergabestelle vergleicht die fristgerecht eingereichte mit der nachgereichten Fassung. Eine materielle Angebotsänderung bleibt unberücksichtigt. Erfüllt die ursprüngliche Fassung eine zwingende Vorgabe der Vergabeunterlagen nicht, wird die Ausschlussfolge anhand von § 57 Abs. 1 VgV und der konkreten Vorgabe neu entschieden und dokumentiert.</w:t>
      </w:r>
    </w:p>
    <w:p>
      <w:r>
        <w:t>Die Antragsgegnerin besteht auf:</w:t>
      </w:r>
    </w:p>
    <w:p>
      <w:pPr>
        <w:pStyle w:val="ListBullet"/>
      </w:pPr>
      <w:r>
        <w:t>Vor Abschluss der vereinbarten Eignungsprüfung und Neuwertung wird kein Zuschlag erteilt.</w:t>
      </w:r>
    </w:p>
    <w:p>
      <w:pPr>
        <w:pStyle w:val="ListBullet"/>
      </w:pPr>
      <w:r>
        <w:t>Der Vergleich gilt nur für das vorliegende Vergabeverfahren und begründet kein Schuldanerkenntnis hinsichtlich etwaiger Schadensersatzansprüche.</w:t>
      </w:r>
    </w:p>
    <w:p>
      <w:pPr>
        <w:pStyle w:val="ListBullet"/>
      </w:pPr>
      <w:r>
        <w:t>Die De-facto-Vergabe (SOC-Pilotbetrieb 12/2025) ist nicht Gegenstand dieses Vergleichs.</w:t>
      </w:r>
    </w:p>
    <w:p>
      <w:r>
        <w:t>Zu den Kosten: Im Innenverhältnis trägt jede Partei ihre notwendigen Aufwendungen selbst und die Kammergebühr hälftig. Die gesetzliche Kostengrundentscheidung der Vergabekammer nach § 182 GWB bleibt unberührt; erforderliche Ausgleichszahlungen erfolgen nach Kostenfestsetzung.</w:t>
      </w:r>
    </w:p>
    <w:p>
      <w:r>
        <w:rPr>
          <w:b/>
        </w:rPr>
        <w:t>Bewertung des Vergleichsvorschlags (Sicht Antragstellerin, intern)</w:t>
      </w:r>
    </w:p>
    <w:p>
      <w:r>
        <w:t>[Interner Vermerk RA Dr. Bährens, nicht Teil des Vergleichsdokuments]</w:t>
      </w:r>
    </w:p>
    <w:p>
      <w:r>
        <w:t>Der Vergleichsvorschlag adressiert den Kernvorwurf (unzulässiger Ausschluss), ist aber in folgenden Punkten unzureichend:</w:t>
      </w:r>
    </w:p>
    <w:p>
      <w:pPr>
        <w:pStyle w:val="ListBullet"/>
      </w:pPr>
      <w:r>
        <w:t>Er gibt keine Garantie für einen Zuschlag, sondern nur für eine Neubewertung. Bei einer Neubewertung könnte CyberShield - trotz Einbeziehung - immer noch unterliegen.</w:t>
      </w:r>
    </w:p>
    <w:p>
      <w:pPr>
        <w:pStyle w:val="ListBullet"/>
      </w:pPr>
      <w:r>
        <w:t>Die Kostenregelung ist unbefriedigend. CyberShield hat durch das rechtswidrige Verhalten der Vergabestelle erhebliche anwaltliche Kosten verursacht; eine hälftige Teilung ist nicht sachgerecht.</w:t>
      </w:r>
    </w:p>
    <w:p>
      <w:pPr>
        <w:pStyle w:val="ListBullet"/>
      </w:pPr>
      <w:r>
        <w:t>Die Frage der unzulässigen Angebotsänderung (§ 15 Abs. 5 VgV) muss durch den Versionsvergleich geklärt werden. War die fristgerechte Fassung zwingend ausschreibungswidrig, genügt keine bloße Herabstufung; dann ist die Ausschlussfolge nach § 57 Abs. 1 VgV zu entscheiden.</w:t>
      </w:r>
    </w:p>
    <w:p>
      <w:r>
        <w:t>Empfehlung: Annahme nur nach präziser Regelung von Neuwertung, Akteneinsicht und Kosten. Andernfalls ist ein Beschluss mit dem Ziel zu beantragen, die Wertung ohne nachgereichte materielle Angebotsänderung anzuordnen.</w:t>
      </w:r>
    </w:p>
    <w:sectPr w:rsidR="00FC693F" w:rsidRPr="0006063C" w:rsidSect="00034616">
      <w:pgSz w:w="12240" w:h="15840"/>
      <w:pgMar w:top="1417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Vergleichsvorschlag der 3. Vergabekammer Mecklenburg-Vorpommern</dc:title>
  <dc:subject>Vergleichsvorschlag | Az. 3 VK 4/26</dc:subject>
  <dc:creator>3. Vergabekammer Mecklenburg-Vorpommern</dc:creator>
  <cp:keywords>Vergaberecht, IT-Sicherheitsvergabe, Nachprüfung</cp:keywords>
  <dc:description>generated by python-docx</dc:description>
  <cp:lastModifiedBy>3. Vergabekammer Mecklenburg-Vorpommern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