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 und Kaufbeleg</w:t>
      </w:r>
    </w:p>
    <w:p>
      <w:pPr>
        <w:jc w:val="left"/>
      </w:pPr>
      <w:r>
        <w:t>VitalTechnik Fachhandel GmbH, Georgstraße 44, 30159 Hannover</w:t>
      </w:r>
    </w:p>
    <w:p>
      <w:pPr>
        <w:jc w:val="left"/>
      </w:pPr>
      <w:r>
        <w:t>Telefon 0511 32 88 140, Registergericht Hannover HRB 21 884, Geschäftsführerin Almut Reinke</w:t>
      </w:r>
    </w:p>
    <w:p>
      <w:pPr>
        <w:pStyle w:val="Heading2"/>
      </w:pPr>
      <w:r>
        <w:rPr>
          <w:rFonts w:ascii="Times New Roman" w:hAnsi="Times New Roman"/>
        </w:rPr>
        <w:t>1 Rechnungsdaten</w:t>
      </w:r>
    </w:p>
    <w:p>
      <w:pPr>
        <w:jc w:val="left"/>
      </w:pPr>
      <w:r>
        <w:t>Rechnungsnummer: VT-2026-04-2277</w:t>
      </w:r>
    </w:p>
    <w:p>
      <w:pPr>
        <w:jc w:val="left"/>
      </w:pPr>
      <w:r>
        <w:t>Rechnungsdatum und Übergabe der Ware: 18.04.2026</w:t>
      </w:r>
    </w:p>
    <w:p>
      <w:pPr>
        <w:jc w:val="left"/>
      </w:pPr>
      <w:r>
        <w:t>Kundin: Frau Henrike Baumgart, Lärchenweg 27, 30655 Hannover</w:t>
      </w:r>
    </w:p>
    <w:p>
      <w:pPr>
        <w:jc w:val="left"/>
      </w:pPr>
      <w:r>
        <w:t>Bestellweg: Kauf im Ladengeschäft, Beratung durch Herrn Tobias Kleinert</w:t>
      </w:r>
    </w:p>
    <w:p>
      <w:pPr>
        <w:jc w:val="left"/>
      </w:pPr>
      <w:r>
        <w:t>Kundennummer: 55 218</w:t>
      </w:r>
    </w:p>
    <w:p>
      <w:pPr>
        <w:pStyle w:val="Heading2"/>
      </w:pPr>
      <w:r>
        <w:rPr>
          <w:rFonts w:ascii="Times New Roman" w:hAnsi="Times New Roman"/>
        </w:rPr>
        <w:t>2 Gekaufte Ware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Position</w:t>
            </w:r>
          </w:p>
        </w:tc>
        <w:tc>
          <w:tcPr>
            <w:tcW w:type="dxa" w:w="1512"/>
          </w:tcPr>
          <w:p>
            <w:r>
              <w:rPr>
                <w:rFonts w:ascii="Times New Roman" w:hAnsi="Times New Roman"/>
                <w:b/>
                <w:sz w:val="20"/>
              </w:rPr>
              <w:t>Artikel</w:t>
            </w:r>
          </w:p>
        </w:tc>
        <w:tc>
          <w:tcPr>
            <w:tcW w:type="dxa" w:w="1512"/>
          </w:tcPr>
          <w:p>
            <w:r>
              <w:rPr>
                <w:rFonts w:ascii="Times New Roman" w:hAnsi="Times New Roman"/>
                <w:b/>
                <w:sz w:val="20"/>
              </w:rPr>
              <w:t>Artikelnummer</w:t>
            </w:r>
          </w:p>
        </w:tc>
        <w:tc>
          <w:tcPr>
            <w:tcW w:type="dxa" w:w="1512"/>
          </w:tcPr>
          <w:p>
            <w:r>
              <w:rPr>
                <w:rFonts w:ascii="Times New Roman" w:hAnsi="Times New Roman"/>
                <w:b/>
                <w:sz w:val="20"/>
              </w:rPr>
              <w:t>Menge</w:t>
            </w:r>
          </w:p>
        </w:tc>
        <w:tc>
          <w:tcPr>
            <w:tcW w:type="dxa" w:w="1512"/>
          </w:tcPr>
          <w:p>
            <w:r>
              <w:rPr>
                <w:rFonts w:ascii="Times New Roman" w:hAnsi="Times New Roman"/>
                <w:b/>
                <w:sz w:val="20"/>
              </w:rPr>
              <w:t>Einzelpreis</w:t>
            </w:r>
          </w:p>
        </w:tc>
        <w:tc>
          <w:tcPr>
            <w:tcW w:type="dxa" w:w="1512"/>
          </w:tcPr>
          <w:p>
            <w:r>
              <w:rPr>
                <w:rFonts w:ascii="Times New Roman" w:hAnsi="Times New Roman"/>
                <w:b/>
                <w:sz w:val="20"/>
              </w:rPr>
              <w:t>Gesamt</w:t>
            </w:r>
          </w:p>
        </w:tc>
      </w:tr>
      <w:tr>
        <w:tc>
          <w:tcPr>
            <w:tcW w:type="dxa" w:w="1512"/>
          </w:tcPr>
          <w:p>
            <w:r>
              <w:rPr>
                <w:rFonts w:ascii="Times New Roman" w:hAnsi="Times New Roman"/>
                <w:sz w:val="20"/>
              </w:rPr>
              <w:t>1</w:t>
            </w:r>
          </w:p>
        </w:tc>
        <w:tc>
          <w:tcPr>
            <w:tcW w:type="dxa" w:w="1512"/>
          </w:tcPr>
          <w:p>
            <w:r>
              <w:rPr>
                <w:rFonts w:ascii="Times New Roman" w:hAnsi="Times New Roman"/>
                <w:sz w:val="20"/>
              </w:rPr>
              <w:t>MediPulse Watch S3, Gehäuse Titan, Armband Silikon anthrazit</w:t>
            </w:r>
          </w:p>
        </w:tc>
        <w:tc>
          <w:tcPr>
            <w:tcW w:type="dxa" w:w="1512"/>
          </w:tcPr>
          <w:p>
            <w:r>
              <w:rPr>
                <w:rFonts w:ascii="Times New Roman" w:hAnsi="Times New Roman"/>
                <w:sz w:val="20"/>
              </w:rPr>
              <w:t>MPW-S3-TI</w:t>
            </w:r>
          </w:p>
        </w:tc>
        <w:tc>
          <w:tcPr>
            <w:tcW w:type="dxa" w:w="1512"/>
          </w:tcPr>
          <w:p>
            <w:r>
              <w:rPr>
                <w:rFonts w:ascii="Times New Roman" w:hAnsi="Times New Roman"/>
                <w:sz w:val="20"/>
              </w:rPr>
              <w:t>1</w:t>
            </w:r>
          </w:p>
        </w:tc>
        <w:tc>
          <w:tcPr>
            <w:tcW w:type="dxa" w:w="1512"/>
          </w:tcPr>
          <w:p>
            <w:r>
              <w:rPr>
                <w:rFonts w:ascii="Times New Roman" w:hAnsi="Times New Roman"/>
                <w:sz w:val="20"/>
              </w:rPr>
              <w:t>449,00 EUR</w:t>
            </w:r>
          </w:p>
        </w:tc>
        <w:tc>
          <w:tcPr>
            <w:tcW w:type="dxa" w:w="1512"/>
          </w:tcPr>
          <w:p>
            <w:r>
              <w:rPr>
                <w:rFonts w:ascii="Times New Roman" w:hAnsi="Times New Roman"/>
                <w:sz w:val="20"/>
              </w:rPr>
              <w:t>449,00 EUR</w:t>
            </w:r>
          </w:p>
        </w:tc>
      </w:tr>
      <w:tr>
        <w:tc>
          <w:tcPr>
            <w:tcW w:type="dxa" w:w="1512"/>
          </w:tcPr>
          <w:p>
            <w:r>
              <w:rPr>
                <w:rFonts w:ascii="Times New Roman" w:hAnsi="Times New Roman"/>
                <w:sz w:val="20"/>
              </w:rPr>
              <w:t>2</w:t>
            </w:r>
          </w:p>
        </w:tc>
        <w:tc>
          <w:tcPr>
            <w:tcW w:type="dxa" w:w="1512"/>
          </w:tcPr>
          <w:p>
            <w:r>
              <w:rPr>
                <w:rFonts w:ascii="Times New Roman" w:hAnsi="Times New Roman"/>
                <w:sz w:val="20"/>
              </w:rPr>
              <w:t>Brustgurt MediPulse Chest Pro (Drittanbieter Cardiosense)</w:t>
            </w:r>
          </w:p>
        </w:tc>
        <w:tc>
          <w:tcPr>
            <w:tcW w:type="dxa" w:w="1512"/>
          </w:tcPr>
          <w:p>
            <w:r>
              <w:rPr>
                <w:rFonts w:ascii="Times New Roman" w:hAnsi="Times New Roman"/>
                <w:sz w:val="20"/>
              </w:rPr>
              <w:t>CS-CP-02</w:t>
            </w:r>
          </w:p>
        </w:tc>
        <w:tc>
          <w:tcPr>
            <w:tcW w:type="dxa" w:w="1512"/>
          </w:tcPr>
          <w:p>
            <w:r>
              <w:rPr>
                <w:rFonts w:ascii="Times New Roman" w:hAnsi="Times New Roman"/>
                <w:sz w:val="20"/>
              </w:rPr>
              <w:t>1</w:t>
            </w:r>
          </w:p>
        </w:tc>
        <w:tc>
          <w:tcPr>
            <w:tcW w:type="dxa" w:w="1512"/>
          </w:tcPr>
          <w:p>
            <w:r>
              <w:rPr>
                <w:rFonts w:ascii="Times New Roman" w:hAnsi="Times New Roman"/>
                <w:sz w:val="20"/>
              </w:rPr>
              <w:t>89,00 EUR</w:t>
            </w:r>
          </w:p>
        </w:tc>
        <w:tc>
          <w:tcPr>
            <w:tcW w:type="dxa" w:w="1512"/>
          </w:tcPr>
          <w:p>
            <w:r>
              <w:rPr>
                <w:rFonts w:ascii="Times New Roman" w:hAnsi="Times New Roman"/>
                <w:sz w:val="20"/>
              </w:rPr>
              <w:t>89,00 EUR</w:t>
            </w:r>
          </w:p>
        </w:tc>
      </w:tr>
      <w:tr>
        <w:tc>
          <w:tcPr>
            <w:tcW w:type="dxa" w:w="1512"/>
          </w:tcPr>
          <w:p>
            <w:r>
              <w:rPr>
                <w:rFonts w:ascii="Times New Roman" w:hAnsi="Times New Roman"/>
                <w:sz w:val="20"/>
              </w:rPr>
              <w:t>3</w:t>
            </w:r>
          </w:p>
        </w:tc>
        <w:tc>
          <w:tcPr>
            <w:tcW w:type="dxa" w:w="1512"/>
          </w:tcPr>
          <w:p>
            <w:r>
              <w:rPr>
                <w:rFonts w:ascii="Times New Roman" w:hAnsi="Times New Roman"/>
                <w:sz w:val="20"/>
              </w:rPr>
              <w:t>Ladeschale MediPulse Dock</w:t>
            </w:r>
          </w:p>
        </w:tc>
        <w:tc>
          <w:tcPr>
            <w:tcW w:type="dxa" w:w="1512"/>
          </w:tcPr>
          <w:p>
            <w:r>
              <w:rPr>
                <w:rFonts w:ascii="Times New Roman" w:hAnsi="Times New Roman"/>
                <w:sz w:val="20"/>
              </w:rPr>
              <w:t>MPW-DOCK</w:t>
            </w:r>
          </w:p>
        </w:tc>
        <w:tc>
          <w:tcPr>
            <w:tcW w:type="dxa" w:w="1512"/>
          </w:tcPr>
          <w:p>
            <w:r>
              <w:rPr>
                <w:rFonts w:ascii="Times New Roman" w:hAnsi="Times New Roman"/>
                <w:sz w:val="20"/>
              </w:rPr>
              <w:t>1</w:t>
            </w:r>
          </w:p>
        </w:tc>
        <w:tc>
          <w:tcPr>
            <w:tcW w:type="dxa" w:w="1512"/>
          </w:tcPr>
          <w:p>
            <w:r>
              <w:rPr>
                <w:rFonts w:ascii="Times New Roman" w:hAnsi="Times New Roman"/>
                <w:sz w:val="20"/>
              </w:rPr>
              <w:t>39,00 EUR</w:t>
            </w:r>
          </w:p>
        </w:tc>
        <w:tc>
          <w:tcPr>
            <w:tcW w:type="dxa" w:w="1512"/>
          </w:tcPr>
          <w:p>
            <w:r>
              <w:rPr>
                <w:rFonts w:ascii="Times New Roman" w:hAnsi="Times New Roman"/>
                <w:sz w:val="20"/>
              </w:rPr>
              <w:t>39,00 EUR</w:t>
            </w:r>
          </w:p>
        </w:tc>
      </w:tr>
    </w:tbl>
    <w:p>
      <w:pPr>
        <w:jc w:val="left"/>
      </w:pPr>
      <w:r>
        <w:t>Warenwert netto: 484,03 EUR — Umsatzsteuer 19 Prozent: 92,97 EUR — Rechnungsbetrag: 577,00 EUR</w:t>
      </w:r>
    </w:p>
    <w:p>
      <w:pPr>
        <w:jc w:val="left"/>
      </w:pPr>
      <w:r>
        <w:t>Zahlung: Girocard, vollständig beglichen am 18.04.2026 um 16:41 Uhr, Terminalbeleg-Nummer 004189</w:t>
      </w:r>
    </w:p>
    <w:p>
      <w:pPr>
        <w:pStyle w:val="Heading2"/>
      </w:pPr>
      <w:r>
        <w:rPr>
          <w:rFonts w:ascii="Times New Roman" w:hAnsi="Times New Roman"/>
        </w:rPr>
        <w:t>3 Angaben zur Beschaffenheit im Verkaufsgespräch</w:t>
      </w:r>
    </w:p>
    <w:p>
      <w:pPr>
        <w:jc w:val="left"/>
      </w:pPr>
      <w:r>
        <w:t>Auf dem Beratungsbogen, den Herr Kleinert der Kundin ausgehändigt und beide unterzeichnet haben, ist angekreuzt und handschriftlich ergänzt:</w:t>
      </w:r>
    </w:p>
    <w:p>
      <w:pPr>
        <w:jc w:val="left"/>
      </w:pPr>
      <w:r>
        <w:t>„Gewünschte Nutzung: EKG-Aufzeichnung zur Vorlage beim Kardiologen, Sturzerkennung für alleinlebende Person. Kundin wünscht ausdrücklich Kopplung mit vorhandenem Brustgurt Cardiosense. Verkäufer bestätigt: Kopplung mit Drittanbieter-Brustgurten wird unterstützt; EKG- und Sturzfunktion sind Bestandteil des Geräts und nicht abopflichtig."</w:t>
      </w:r>
    </w:p>
    <w:p>
      <w:pPr>
        <w:pStyle w:val="Heading2"/>
      </w:pPr>
      <w:r>
        <w:rPr>
          <w:rFonts w:ascii="Times New Roman" w:hAnsi="Times New Roman"/>
        </w:rPr>
        <w:t>4 Herstellergarantie und gesetzliche Rechte</w:t>
      </w:r>
    </w:p>
    <w:p>
      <w:pPr>
        <w:jc w:val="left"/>
      </w:pPr>
      <w:r>
        <w:t>Die Herstellergarantie der MediPulse Health GmbH beträgt vierundzwanzig Monate ab Kaufdatum und umfasst Material- und Verarbeitungsfehler. Von der Garantie ausgenommen sind Schäden durch unsachgemäße Behandlung, Sturz und Feuchtigkeitseintritt oberhalb der angegebenen Schutzklasse.</w:t>
      </w:r>
    </w:p>
    <w:p>
      <w:pPr>
        <w:jc w:val="left"/>
      </w:pPr>
      <w:r>
        <w:t>Auf dem Beleg ist gedruckt: „Die gesetzlichen Rechte bei Mängeln bleiben von der Herstellergarantie unberührt. Bei Verbrauchsgüterkäufen beträgt die Verjährungsfrist für Mängelansprüche zwei Jahre ab Übergabe."</w:t>
      </w:r>
    </w:p>
    <w:p>
      <w:pPr>
        <w:jc w:val="left"/>
      </w:pPr>
      <w:r>
        <w:t>Zur Aktualisierungspflicht bei Waren mit digitalen Elementen enthält der Beleg keine Angabe. Eine gesonderte Vereinbarung über eine kürzere Bereitstellungsdauer digitaler Funktionen wurde nicht getroffen und ist auch im Beratungsbogen nicht vermerkt.</w:t>
      </w:r>
    </w:p>
    <w:p>
      <w:pPr>
        <w:pStyle w:val="Heading2"/>
      </w:pPr>
      <w:r>
        <w:rPr>
          <w:rFonts w:ascii="Times New Roman" w:hAnsi="Times New Roman"/>
        </w:rPr>
        <w:t>5 Rücknahme</w:t>
      </w:r>
    </w:p>
    <w:p>
      <w:pPr>
        <w:jc w:val="left"/>
      </w:pPr>
      <w:r>
        <w:t>Gedruckter Hinweis: „Freiwillige Rücknahme ungeöffneter Ware innerhalb von vierzehn Tagen gegen Vorlage dieses Belegs. Für im Ladengeschäft geschlossene Verträge besteht kein gesetzliches Widerrufsrecht."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VitalTechnik Fachhandel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VitalTechnik Fachhandel GmbH</w:t>
    </w:r>
  </w:p>
  <w:p>
    <w:pPr>
      <w:jc w:val="left"/>
      <w:pBdr>
        <w:bottom w:val="single" w:sz="6" w:space="2" w:color="8A6A1F"/>
      </w:pBdr>
    </w:pPr>
    <w:r>
      <w:rPr>
        <w:rFonts w:ascii="Times New Roman" w:hAnsi="Times New Roman"/>
        <w:color w:val="6B6B66"/>
        <w:sz w:val="16"/>
      </w:rPr>
      <w:t>Georgstraße 44, 30159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