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Kaufvertrag, Rechnung und Leistungsbeschreibung Wallbox</w:t>
      </w:r>
    </w:p>
    <w:p>
      <w:pPr>
        <w:jc w:val="left"/>
      </w:pPr>
      <w:r>
        <w:t>Elektro Steinkamp GmbH, Gladbecker Straße 207, 45326 Essen</w:t>
      </w:r>
    </w:p>
    <w:p>
      <w:pPr>
        <w:jc w:val="left"/>
      </w:pPr>
      <w:r>
        <w:t>Telefon 0201 83 41 507, Registergericht Essen HRB 19 663, Geschäftsführer Ralf Steinkamp, Eingetragener Installationsbetrieb beim Netzbetreiber</w:t>
      </w:r>
    </w:p>
    <w:p>
      <w:pPr>
        <w:pStyle w:val="Heading2"/>
      </w:pPr>
      <w:r>
        <w:rPr>
          <w:rFonts w:ascii="Times New Roman" w:hAnsi="Times New Roman"/>
        </w:rPr>
        <w:t>1 Vertrags- und Rechnungsdaten</w:t>
      </w:r>
    </w:p>
    <w:p>
      <w:pPr>
        <w:jc w:val="left"/>
      </w:pPr>
      <w:r>
        <w:t>Angebot: ES-2025-1142 vom 06.11.2025, angenommen durch den Kunden am 11.11.2025</w:t>
      </w:r>
    </w:p>
    <w:p>
      <w:pPr>
        <w:jc w:val="left"/>
      </w:pPr>
      <w:r>
        <w:t>Rechnungsnummer: ES-2026-0074</w:t>
      </w:r>
    </w:p>
    <w:p>
      <w:pPr>
        <w:jc w:val="left"/>
      </w:pPr>
      <w:r>
        <w:t>Lieferung, Montage und Inbetriebnahme: 22.01.2026</w:t>
      </w:r>
    </w:p>
    <w:p>
      <w:pPr>
        <w:jc w:val="left"/>
      </w:pPr>
      <w:r>
        <w:t>Kunde: Herr Marek Zwierzchowski, Rüttenscheider Straße 158, 45130 Essen</w:t>
      </w:r>
    </w:p>
    <w:p>
      <w:pPr>
        <w:pStyle w:val="Heading2"/>
      </w:pPr>
      <w:r>
        <w:rPr>
          <w:rFonts w:ascii="Times New Roman" w:hAnsi="Times New Roman"/>
        </w:rPr>
        <w:t>2 Leistungsgegenstand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Position</w:t>
            </w:r>
          </w:p>
        </w:tc>
        <w:tc>
          <w:tcPr>
            <w:tcW w:type="dxa" w:w="1512"/>
          </w:tcPr>
          <w:p>
            <w:r>
              <w:rPr>
                <w:rFonts w:ascii="Times New Roman" w:hAnsi="Times New Roman"/>
                <w:b/>
                <w:sz w:val="20"/>
              </w:rPr>
              <w:t>Leistung</w:t>
            </w:r>
          </w:p>
        </w:tc>
        <w:tc>
          <w:tcPr>
            <w:tcW w:type="dxa" w:w="1512"/>
          </w:tcPr>
          <w:p>
            <w:r>
              <w:rPr>
                <w:rFonts w:ascii="Times New Roman" w:hAnsi="Times New Roman"/>
                <w:b/>
                <w:sz w:val="20"/>
              </w:rPr>
              <w:t>Artikelnummer</w:t>
            </w:r>
          </w:p>
        </w:tc>
        <w:tc>
          <w:tcPr>
            <w:tcW w:type="dxa" w:w="1512"/>
          </w:tcPr>
          <w:p>
            <w:r>
              <w:rPr>
                <w:rFonts w:ascii="Times New Roman" w:hAnsi="Times New Roman"/>
                <w:b/>
                <w:sz w:val="20"/>
              </w:rPr>
              <w:t>Menge</w:t>
            </w:r>
          </w:p>
        </w:tc>
        <w:tc>
          <w:tcPr>
            <w:tcW w:type="dxa" w:w="1512"/>
          </w:tcPr>
          <w:p>
            <w:r>
              <w:rPr>
                <w:rFonts w:ascii="Times New Roman" w:hAnsi="Times New Roman"/>
                <w:b/>
                <w:sz w:val="20"/>
              </w:rPr>
              <w:t>Einzelpreis</w:t>
            </w:r>
          </w:p>
        </w:tc>
        <w:tc>
          <w:tcPr>
            <w:tcW w:type="dxa" w:w="1512"/>
          </w:tcPr>
          <w:p>
            <w:r>
              <w:rPr>
                <w:rFonts w:ascii="Times New Roman" w:hAnsi="Times New Roman"/>
                <w:b/>
                <w:sz w:val="20"/>
              </w:rPr>
              <w:t>Gesamt</w:t>
            </w:r>
          </w:p>
        </w:tc>
      </w:tr>
      <w:tr>
        <w:tc>
          <w:tcPr>
            <w:tcW w:type="dxa" w:w="1512"/>
          </w:tcPr>
          <w:p>
            <w:r>
              <w:rPr>
                <w:rFonts w:ascii="Times New Roman" w:hAnsi="Times New Roman"/>
                <w:sz w:val="20"/>
              </w:rPr>
              <w:t>1</w:t>
            </w:r>
          </w:p>
        </w:tc>
        <w:tc>
          <w:tcPr>
            <w:tcW w:type="dxa" w:w="1512"/>
          </w:tcPr>
          <w:p>
            <w:r>
              <w:rPr>
                <w:rFonts w:ascii="Times New Roman" w:hAnsi="Times New Roman"/>
                <w:sz w:val="20"/>
              </w:rPr>
              <w:t>Wallbox HelioCharge W7, 11 Kilowatt, mit integriertem Lastmanagement</w:t>
            </w:r>
          </w:p>
        </w:tc>
        <w:tc>
          <w:tcPr>
            <w:tcW w:type="dxa" w:w="1512"/>
          </w:tcPr>
          <w:p>
            <w:r>
              <w:rPr>
                <w:rFonts w:ascii="Times New Roman" w:hAnsi="Times New Roman"/>
                <w:sz w:val="20"/>
              </w:rPr>
              <w:t>HC-W7-11</w:t>
            </w:r>
          </w:p>
        </w:tc>
        <w:tc>
          <w:tcPr>
            <w:tcW w:type="dxa" w:w="1512"/>
          </w:tcPr>
          <w:p>
            <w:r>
              <w:rPr>
                <w:rFonts w:ascii="Times New Roman" w:hAnsi="Times New Roman"/>
                <w:sz w:val="20"/>
              </w:rPr>
              <w:t>1</w:t>
            </w:r>
          </w:p>
        </w:tc>
        <w:tc>
          <w:tcPr>
            <w:tcW w:type="dxa" w:w="1512"/>
          </w:tcPr>
          <w:p>
            <w:r>
              <w:rPr>
                <w:rFonts w:ascii="Times New Roman" w:hAnsi="Times New Roman"/>
                <w:sz w:val="20"/>
              </w:rPr>
              <w:t>1.290,00 EUR</w:t>
            </w:r>
          </w:p>
        </w:tc>
        <w:tc>
          <w:tcPr>
            <w:tcW w:type="dxa" w:w="1512"/>
          </w:tcPr>
          <w:p>
            <w:r>
              <w:rPr>
                <w:rFonts w:ascii="Times New Roman" w:hAnsi="Times New Roman"/>
                <w:sz w:val="20"/>
              </w:rPr>
              <w:t>1.290,00 EUR</w:t>
            </w:r>
          </w:p>
        </w:tc>
      </w:tr>
      <w:tr>
        <w:tc>
          <w:tcPr>
            <w:tcW w:type="dxa" w:w="1512"/>
          </w:tcPr>
          <w:p>
            <w:r>
              <w:rPr>
                <w:rFonts w:ascii="Times New Roman" w:hAnsi="Times New Roman"/>
                <w:sz w:val="20"/>
              </w:rPr>
              <w:t>2</w:t>
            </w:r>
          </w:p>
        </w:tc>
        <w:tc>
          <w:tcPr>
            <w:tcW w:type="dxa" w:w="1512"/>
          </w:tcPr>
          <w:p>
            <w:r>
              <w:rPr>
                <w:rFonts w:ascii="Times New Roman" w:hAnsi="Times New Roman"/>
                <w:sz w:val="20"/>
              </w:rPr>
              <w:t>Energiezähler Volstrom EM-3 (Drittanbieter) für Hausanschlussmessung</w:t>
            </w:r>
          </w:p>
        </w:tc>
        <w:tc>
          <w:tcPr>
            <w:tcW w:type="dxa" w:w="1512"/>
          </w:tcPr>
          <w:p>
            <w:r>
              <w:rPr>
                <w:rFonts w:ascii="Times New Roman" w:hAnsi="Times New Roman"/>
                <w:sz w:val="20"/>
              </w:rPr>
              <w:t>VS-EM3</w:t>
            </w:r>
          </w:p>
        </w:tc>
        <w:tc>
          <w:tcPr>
            <w:tcW w:type="dxa" w:w="1512"/>
          </w:tcPr>
          <w:p>
            <w:r>
              <w:rPr>
                <w:rFonts w:ascii="Times New Roman" w:hAnsi="Times New Roman"/>
                <w:sz w:val="20"/>
              </w:rPr>
              <w:t>1</w:t>
            </w:r>
          </w:p>
        </w:tc>
        <w:tc>
          <w:tcPr>
            <w:tcW w:type="dxa" w:w="1512"/>
          </w:tcPr>
          <w:p>
            <w:r>
              <w:rPr>
                <w:rFonts w:ascii="Times New Roman" w:hAnsi="Times New Roman"/>
                <w:sz w:val="20"/>
              </w:rPr>
              <w:t>218,00 EUR</w:t>
            </w:r>
          </w:p>
        </w:tc>
        <w:tc>
          <w:tcPr>
            <w:tcW w:type="dxa" w:w="1512"/>
          </w:tcPr>
          <w:p>
            <w:r>
              <w:rPr>
                <w:rFonts w:ascii="Times New Roman" w:hAnsi="Times New Roman"/>
                <w:sz w:val="20"/>
              </w:rPr>
              <w:t>218,00 EUR</w:t>
            </w:r>
          </w:p>
        </w:tc>
      </w:tr>
      <w:tr>
        <w:tc>
          <w:tcPr>
            <w:tcW w:type="dxa" w:w="1512"/>
          </w:tcPr>
          <w:p>
            <w:r>
              <w:rPr>
                <w:rFonts w:ascii="Times New Roman" w:hAnsi="Times New Roman"/>
                <w:sz w:val="20"/>
              </w:rPr>
              <w:t>3</w:t>
            </w:r>
          </w:p>
        </w:tc>
        <w:tc>
          <w:tcPr>
            <w:tcW w:type="dxa" w:w="1512"/>
          </w:tcPr>
          <w:p>
            <w:r>
              <w:rPr>
                <w:rFonts w:ascii="Times New Roman" w:hAnsi="Times New Roman"/>
                <w:sz w:val="20"/>
              </w:rPr>
              <w:t>Montage, Leitungsweg 14 Meter, Absicherung und Anmeldung beim Netzbetreiber</w:t>
            </w:r>
          </w:p>
        </w:tc>
        <w:tc>
          <w:tcPr>
            <w:tcW w:type="dxa" w:w="1512"/>
          </w:tcPr>
          <w:p>
            <w:r>
              <w:rPr>
                <w:rFonts w:ascii="Times New Roman" w:hAnsi="Times New Roman"/>
                <w:sz w:val="20"/>
              </w:rPr>
              <w:t>DL-INST</w:t>
            </w:r>
          </w:p>
        </w:tc>
        <w:tc>
          <w:tcPr>
            <w:tcW w:type="dxa" w:w="1512"/>
          </w:tcPr>
          <w:p>
            <w:r>
              <w:rPr>
                <w:rFonts w:ascii="Times New Roman" w:hAnsi="Times New Roman"/>
                <w:sz w:val="20"/>
              </w:rPr>
              <w:t>1</w:t>
            </w:r>
          </w:p>
        </w:tc>
        <w:tc>
          <w:tcPr>
            <w:tcW w:type="dxa" w:w="1512"/>
          </w:tcPr>
          <w:p>
            <w:r>
              <w:rPr>
                <w:rFonts w:ascii="Times New Roman" w:hAnsi="Times New Roman"/>
                <w:sz w:val="20"/>
              </w:rPr>
              <w:t>940,00 EUR</w:t>
            </w:r>
          </w:p>
        </w:tc>
        <w:tc>
          <w:tcPr>
            <w:tcW w:type="dxa" w:w="1512"/>
          </w:tcPr>
          <w:p>
            <w:r>
              <w:rPr>
                <w:rFonts w:ascii="Times New Roman" w:hAnsi="Times New Roman"/>
                <w:sz w:val="20"/>
              </w:rPr>
              <w:t>940,00 EUR</w:t>
            </w:r>
          </w:p>
        </w:tc>
      </w:tr>
      <w:tr>
        <w:tc>
          <w:tcPr>
            <w:tcW w:type="dxa" w:w="1512"/>
          </w:tcPr>
          <w:p>
            <w:r>
              <w:rPr>
                <w:rFonts w:ascii="Times New Roman" w:hAnsi="Times New Roman"/>
                <w:sz w:val="20"/>
              </w:rPr>
              <w:t>4</w:t>
            </w:r>
          </w:p>
        </w:tc>
        <w:tc>
          <w:tcPr>
            <w:tcW w:type="dxa" w:w="1512"/>
          </w:tcPr>
          <w:p>
            <w:r>
              <w:rPr>
                <w:rFonts w:ascii="Times New Roman" w:hAnsi="Times New Roman"/>
                <w:sz w:val="20"/>
              </w:rPr>
              <w:t>Inbetriebnahme, Messprotokoll und Einweisung</w:t>
            </w:r>
          </w:p>
        </w:tc>
        <w:tc>
          <w:tcPr>
            <w:tcW w:type="dxa" w:w="1512"/>
          </w:tcPr>
          <w:p>
            <w:r>
              <w:rPr>
                <w:rFonts w:ascii="Times New Roman" w:hAnsi="Times New Roman"/>
                <w:sz w:val="20"/>
              </w:rPr>
              <w:t>DL-IBN</w:t>
            </w:r>
          </w:p>
        </w:tc>
        <w:tc>
          <w:tcPr>
            <w:tcW w:type="dxa" w:w="1512"/>
          </w:tcPr>
          <w:p>
            <w:r>
              <w:rPr>
                <w:rFonts w:ascii="Times New Roman" w:hAnsi="Times New Roman"/>
                <w:sz w:val="20"/>
              </w:rPr>
              <w:t>1</w:t>
            </w:r>
          </w:p>
        </w:tc>
        <w:tc>
          <w:tcPr>
            <w:tcW w:type="dxa" w:w="1512"/>
          </w:tcPr>
          <w:p>
            <w:r>
              <w:rPr>
                <w:rFonts w:ascii="Times New Roman" w:hAnsi="Times New Roman"/>
                <w:sz w:val="20"/>
              </w:rPr>
              <w:t>180,00 EUR</w:t>
            </w:r>
          </w:p>
        </w:tc>
        <w:tc>
          <w:tcPr>
            <w:tcW w:type="dxa" w:w="1512"/>
          </w:tcPr>
          <w:p>
            <w:r>
              <w:rPr>
                <w:rFonts w:ascii="Times New Roman" w:hAnsi="Times New Roman"/>
                <w:sz w:val="20"/>
              </w:rPr>
              <w:t>180,00 EUR</w:t>
            </w:r>
          </w:p>
        </w:tc>
      </w:tr>
    </w:tbl>
    <w:p>
      <w:pPr>
        <w:jc w:val="left"/>
      </w:pPr>
      <w:r>
        <w:t>Warenwert netto: 2.208,40 EUR — Umsatzsteuer 19 Prozent: 419,60 EUR — Rechnungsbetrag: 2.628,00 EUR</w:t>
      </w:r>
    </w:p>
    <w:p>
      <w:pPr>
        <w:jc w:val="left"/>
      </w:pPr>
      <w:r>
        <w:t>Zahlung: Überweisung in zwei Raten, Schlusszahlung eingegangen am 05.02.2026</w:t>
      </w:r>
    </w:p>
    <w:p>
      <w:pPr>
        <w:pStyle w:val="Heading2"/>
      </w:pPr>
      <w:r>
        <w:rPr>
          <w:rFonts w:ascii="Times New Roman" w:hAnsi="Times New Roman"/>
        </w:rPr>
        <w:t>3 Vereinbarte Beschaffenheit laut Angebot</w:t>
      </w:r>
    </w:p>
    <w:p>
      <w:pPr>
        <w:jc w:val="left"/>
      </w:pPr>
      <w:r>
        <w:t>Im Angebot ES-2025-1142 ist unter „Funktionsumfang" ausgeführt:</w:t>
      </w:r>
    </w:p>
    <w:p>
      <w:pPr>
        <w:jc w:val="left"/>
      </w:pPr>
      <w:r>
        <w:t>„Die Wallbox regelt den Ladestrom dynamisch nach der am Hausanschluss gemessenen Restleistung (dynamisches Lastmanagement). Als Messgerät wird der vom Kunden gewünschte Volstrom EM-3 eingebunden; die Wallbox unterstützt offene Zählerschnittstellen. Die Photovoltaikanlage des Kunden wird über die Überschussfunktion berücksichtigt. Das Lastmanagement ist Bestandteil des Geräts; laufende Entgelte fallen hierfür nicht an."</w:t>
      </w:r>
    </w:p>
    <w:p>
      <w:pPr>
        <w:jc w:val="left"/>
      </w:pPr>
      <w:r>
        <w:t>Der Kunde hat im Angebot handschriftlich ergänzt und paraphiert: „Wichtig: Ladung nur mit PV-Überschuss, Hausanschluss 35 Ampere, darf nicht überlastet werden."</w:t>
      </w:r>
    </w:p>
    <w:p>
      <w:pPr>
        <w:pStyle w:val="Heading2"/>
      </w:pPr>
      <w:r>
        <w:rPr>
          <w:rFonts w:ascii="Times New Roman" w:hAnsi="Times New Roman"/>
        </w:rPr>
        <w:t>4 Hinweise des Herstellers in der beigefügten Produktinformation</w:t>
      </w:r>
    </w:p>
    <w:p>
      <w:pPr>
        <w:jc w:val="left"/>
      </w:pPr>
      <w:r>
        <w:t>Die dem Gerät beiliegende Produktinformation der HelioCharge Systems GmbH nennt unter „Konnektivität" ausdrücklich die Unterstützung offener Zählerschnittstellen und die Einbindung von Fremdzählern. Zur Dauer der Bereitstellung von Softwarefunktionen enthält sie die Angabe: „Sicherheits- und Funktionsaktualisierungen werden für mindestens fünf Jahre ab Markteinführung bereitgestellt."</w:t>
      </w:r>
    </w:p>
    <w:p>
      <w:pPr>
        <w:jc w:val="left"/>
      </w:pPr>
      <w:r>
        <w:t>Eine Beschränkung des Lastmanagements auf herstellereigene Zähler oder ein Vorbehalt, Funktionen künftig entgeltpflichtig zu stellen, ist weder im Angebot noch in der Produktinformation enthalten.</w:t>
      </w:r>
    </w:p>
    <w:p>
      <w:pPr>
        <w:pStyle w:val="Heading2"/>
      </w:pPr>
      <w:r>
        <w:rPr>
          <w:rFonts w:ascii="Times New Roman" w:hAnsi="Times New Roman"/>
        </w:rPr>
        <w:t>5 Gewährleistung und Abnahme</w:t>
      </w:r>
    </w:p>
    <w:p>
      <w:pPr>
        <w:jc w:val="left"/>
      </w:pPr>
      <w:r>
        <w:t>Gedruckter Hinweis auf der Rechnung: „Für die gelieferte Ware gilt die gesetzliche Verjährungsfrist von zwei Jahren ab Übergabe. Für die Montageleistung gilt die gesetzliche Verjährungsfrist für Werkleistungen ab Abnahme."</w:t>
      </w:r>
    </w:p>
    <w:p>
      <w:pPr>
        <w:jc w:val="left"/>
      </w:pPr>
      <w:r>
        <w:t>Das Abnahmeprotokoll vom 22.01.2026 ist beiderseits unterzeichnet; als Vorbehalt ist eingetragen: „Überschussladung noch nicht abschließend geprüft, Nachweis bei erster längerer Sonnenphase."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Elektro Steinkamp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Elektro Steinkamp GmbH</w:t>
    </w:r>
  </w:p>
  <w:p>
    <w:pPr>
      <w:jc w:val="left"/>
      <w:pBdr>
        <w:bottom w:val="single" w:sz="6" w:space="2" w:color="7B2D3B"/>
      </w:pBdr>
    </w:pPr>
    <w:r>
      <w:rPr>
        <w:rFonts w:ascii="Times New Roman" w:hAnsi="Times New Roman"/>
        <w:color w:val="6B6B66"/>
        <w:sz w:val="16"/>
      </w:rPr>
      <w:t>Gladbecker Straße 207, 45326 Essen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