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keepNext/>
      </w:pPr>
      <w:r>
        <w:t>Term Sheet SkyFade Robotics</w:t>
      </w:r>
    </w:p>
    <w:p>
      <w:pPr>
        <w:pStyle w:val="Normal"/>
        <w:widowControl/>
      </w:pPr>
      <w:r>
        <w:t>Serie B Wachstumsfinanzierung in zwei Tranchen</w:t>
      </w:r>
    </w:p>
    <w:p>
      <w:pPr>
        <w:pStyle w:val="Normal"/>
        <w:widowControl/>
      </w:pPr>
      <w:r>
        <w:t>Berlin, 9. Oktober 2026. Verhandlungsstand für die Besprechung am 13. Oktober 2026. Nur die in Nummer 12 ausdrücklich bezeichneten Nebenabreden sollen mit ordnungsgemäßer Unterzeichnung verbindlich werden. Die Finanzierung und die Gesellschafterrechte bleiben bis zum Abschluss der erforderlichen endgültigen Verträge unverbindlich.</w:t>
      </w:r>
    </w:p>
    <w:p>
      <w:pPr>
        <w:pStyle w:val="Heading1"/>
        <w:widowControl/>
        <w:keepNext/>
      </w:pPr>
      <w:r>
        <w:t>1 Parteien und Geschäft</w:t>
      </w:r>
    </w:p>
    <w:p>
      <w:pPr>
        <w:pStyle w:val="Normal"/>
        <w:widowControl/>
      </w:pPr>
      <w:r>
        <w:t>Die SkyFade Robotics GmbH, Werkhof 7, 12489 Berlin, besteht seit 2023. Kunigunde Wolkenberger verantwortet Produkt und Robotik, Kilian Funkenschlag Software und Betrieb. Bisher beteiligt sind außerdem Ottilie Trutz, ABC Ventures GmbH und DEF Partners GmbH. Als neue Investoren verhandeln GHI Capital GmbH und JKL Fonds GmbH. Register, Vertretung und Anteilnummern sind vor Unterzeichnung mit den aktuellen Nachweisen abzugleichen.</w:t>
      </w:r>
    </w:p>
    <w:p>
      <w:pPr>
        <w:pStyle w:val="Normal"/>
        <w:widowControl/>
      </w:pPr>
      <w:r>
        <w:t>SkyFade entwickelt eine buchbare robotische Friseurlösung mit digitaler Terminplanung und einem Kopfmodell aus Smartphone-Aufnahmen. Der bisherige Versuchsbetrieb verwendet technische Köpfe in einem abgesperrten Innenraum. Die weitergehende Vorstellung umfasst das Erreichen einer gesicherten Andockstelle am Gebäude und später zusätzliche Pflegeleistungen. Ein Einsatz an Menschen, an Kindern oder im öffentlichen Luftraum ist mit diesem Term Sheet weder zugesagt noch freigegeben. Entsprechende technische, behördliche und versicherungsrechtliche Nachweise sind gesondert erforderlich.</w:t>
      </w:r>
    </w:p>
    <w:p>
      <w:pPr>
        <w:pStyle w:val="Heading2"/>
        <w:widowControl/>
        <w:keepNext/>
      </w:pPr>
      <w:r>
        <w:t>1.1 Entwicklung der Gesellschaft</w:t>
      </w:r>
    </w:p>
    <w:p>
      <w:pPr>
        <w:pStyle w:val="Normal"/>
        <w:widowControl/>
      </w:pPr>
      <w:r>
        <w:t>Die Gründer arbeiteten ab Januar 2023 in einer Projektgemeinschaft. Die notarielle Errichtung der UG folgte am 18. Mai, die Eintragung am 20. Juni 2023 mit 1.000 EUR vollständig bar eingezahltem Kapital. Im Juli überließen die Gründer bestimmte Software und Zeichnungen außerhalb der Stammeinlagen. Eine weitere Bareinzahlung von zusammen 24.000 EUR und die am 4. Oktober eingetragene Kapital- und Firmenänderung führten zur heutigen GmbH. Die Rechtsträgeridentität blieb bestehen. Die vor der Gründung geschlossenen Verträge und die damaligen Rechteüberlassungen werden trotzdem einzeln nachgewiesen.</w:t>
      </w:r>
    </w:p>
    <w:p>
      <w:pPr>
        <w:pStyle w:val="Normal"/>
        <w:widowControl/>
      </w:pPr>
      <w:r>
        <w:t>Ottilie trat im November 2023 mit 500.000 EUR Gesamtzahlung ein. ABC und DEF finanzierten im März 2025 zusammen 7.000.000 EUR. Die frühere Nummerierung der Gründeranteile wurde im November 2023 durch eine dokumentierte Teilung und Neuordnung ersetzt. Die aktuelle Nummernfolge darf nicht zusätzlich zur alten gezählt werden. Das Rechteverzeichnis muss außerdem zwischen Gründerleistungen, späteren Arbeitnehmerbeiträgen und Frieda Pixelhagens gesonderter Lizenz unterscheiden.</w:t>
      </w:r>
    </w:p>
    <w:p>
      <w:pPr>
        <w:pStyle w:val="Heading1"/>
        <w:widowControl/>
        <w:keepNext/>
      </w:pPr>
      <w:r>
        <w:t>2 Bewertung und Kapital</w:t>
      </w:r>
    </w:p>
    <w:p>
      <w:pPr>
        <w:pStyle w:val="Normal"/>
        <w:widowControl/>
      </w:pPr>
      <w:r>
        <w:t>Die Verhandlungsgrundlage beträgt 25.000.000 EUR vor neuem Kapital und 35.000.000 EUR nach vollständiger Einzahlung von 10.000.000 EUR. Es handelt sich um eine Transaktionsbewertung, nicht um eine Garantie des späteren Unternehmenswerts. Ein neu zu schaffender Mitarbeiterpool ist nicht eingerechnet; dessen Umfang und Verwässerungswirkung müssen vor Abschluss zusätzlich vereinbart werden.</w:t>
      </w:r>
    </w:p>
    <w:p>
      <w:pPr>
        <w:pStyle w:val="Normal"/>
        <w:widowControl/>
      </w:pPr>
      <w:r>
        <w:t>Das bisherige Stammkapital beträgt 50.000 EUR. Bei einer Stückelung in Geschäftsanteile zu je 1 EUR entspricht der neue Ausgabebetrag 500 EUR je Anteil, davon 1 EUR Nennbetrag und 499 EUR Agio. Die neuen Mittel werden als Bareinzahlung erbracht. Nach dem vorliegenden Vorschlag erfolgt keine Wandlung früherer Darlehen. Sollte eine Wandlung hinzukommen, sind Forderung, Zinsen, Preis und zusätzliche Verwässerung gesondert auszuweisen.</w:t>
      </w:r>
    </w:p>
    <w:p>
      <w:pPr>
        <w:pStyle w:val="Normal"/>
        <w:widowControl/>
      </w:pPr>
      <w:r>
        <w:t>Vor der Runde entfallen 12.500 EUR auf Kunigunde Wolkenberger, 12.500 EUR auf Kilian Funkenschlag, 5.000 EUR auf Ottilie Trutz, 11.000 EUR auf ABC und 9.000 EUR auf DEF. Nach der ersten Tranche beträgt das Kapital 62.000 EUR, nach beiden Tranchen 70.000 EUR. Die unveränderten alten Nennbeträge dürfen nicht bereits vor Eintragung durch gerundete Endquoten ersetzt werden.</w:t>
      </w:r>
    </w:p>
    <w:p>
      <w:pPr>
        <w:pStyle w:val="Heading1"/>
        <w:widowControl/>
        <w:keepNext/>
      </w:pPr>
      <w:r>
        <w:t>3 Investoren und Tranchen</w:t>
      </w:r>
    </w:p>
    <w:p>
      <w:pPr>
        <w:pStyle w:val="Normal"/>
        <w:widowControl/>
      </w:pPr>
      <w:r>
        <w:t>GHI zeichnet insgesamt 7.500.000 EUR, JKL insgesamt 2.500.000 EUR. Der erste Vollzug umfasst 6.000.000 EUR: GHI zahlt 4.500.000 EUR für 9.000 neue Anteile, JKL 1.500.000 EUR für 3.000 neue Anteile. Das gesamte Agio der ersten Tranche beträgt 5.988.000 EUR.</w:t>
      </w:r>
    </w:p>
    <w:p>
      <w:pPr>
        <w:pStyle w:val="Normal"/>
        <w:widowControl/>
      </w:pPr>
      <w:r>
        <w:t>Der zweite Vollzug umfasst weitere 4.000.000 EUR: GHI zahlt 3.000.000 EUR für 6.000 weitere Anteile, JKL 1.000.000 EUR für 2.000 weitere Anteile. Das gesamte Agio der zweiten Tranche beträgt 3.992.000 EUR. Die beiden Kapitalerhöhungen werden gesondert beschlossen und vollzogen. Die neuen Anteile entstehen erst mit der jeweils erforderlichen Eintragung.</w:t>
      </w:r>
    </w:p>
    <w:p>
      <w:pPr>
        <w:pStyle w:val="Normal"/>
        <w:widowControl/>
      </w:pPr>
      <w:r>
        <w:t>Die zweite Tranche soll von objektiven, im endgültigen Vertrag genau bezeichneten Meilensteinen abhängen. Die Gesellschaft schlägt einen abgeschlossenen unabhängigen Sicherheitsbericht zum vorgesehenen Pilotumfang, die erforderlichen konkreten behördlichen Nachweise, eine dazu passende bindende Versicherungsdeckung und den Nachweis der notwendigen Software-Nutzungsrechte vor. Ein pauschales Zufriedenheitsurteil des Investors soll nicht genügen. Die genaue Reichweite des Piloten bleibt Gegenstand der Verhandlung.</w:t>
      </w:r>
    </w:p>
    <w:p>
      <w:pPr>
        <w:pStyle w:val="Normal"/>
        <w:widowControl/>
      </w:pPr>
      <w:r>
        <w:t>Bei ausbleibender zweiter Tranche bleiben die erste Einzahlung und die daraus entstandenen Anteile grundsätzlich bestehen. Die endgültige Vereinbarung muss Nachweisverfahren, Beanstandungsfrist, Nachbesserung, Endtermin und Folgen eines berechtigten oder unberechtigten Zahlungsverweigerns regeln. Nicht gezahlte Beträge sind weder Bankguthaben noch Präferenzbasis.</w:t>
      </w:r>
    </w:p>
    <w:p>
      <w:pPr>
        <w:pStyle w:val="Heading1"/>
        <w:widowControl/>
        <w:keepNext/>
      </w:pPr>
      <w:r>
        <w:t>4 Beteiligung nach vollständigem Vollzug</w:t>
      </w:r>
    </w:p>
    <w:p>
      <w:pPr>
        <w:pStyle w:val="Normal"/>
        <w:widowControl/>
      </w:pPr>
      <w:r>
        <w:t>Nach beiden Eintragungen hält Kunigunde Wolkenberger 12.500 von 70.000 EUR, ebenso Kilian Funkenschlag. Ottilie Trutz hält 5.000 EUR, ABC 11.000 EUR, DEF 9.000 EUR, GHI 15.000 EUR und JKL 5.000 EUR. Die Anzeigequoten lauten gerundet 17,8571 Prozent, 17,8571 Prozent, 7,1429 Prozent, 15,7143 Prozent, 12,8571 Prozent, 21,4286 Prozent und 7,1429 Prozent. Maßgeblich bleiben die Nennbeträge.</w:t>
      </w:r>
    </w:p>
    <w:p>
      <w:pPr>
        <w:pStyle w:val="Normal"/>
        <w:widowControl/>
      </w:pPr>
      <w:r>
        <w:t>Die gesonderte Arbeitsmappe stellt drei Kapitalzustände dar. Sie dokumentiert keine bereits vollzogene Kapitalerhöhung. Weitere echte oder virtuelle Beteiligungszusagen werden vor endgültiger Preisfestlegung offengelegt. Ein virtueller Anspruch ist nicht ohne Weiteres ein stimmberechtigter GmbH-Anteil.</w:t>
      </w:r>
    </w:p>
    <w:p>
      <w:pPr>
        <w:pStyle w:val="Heading1"/>
        <w:widowControl/>
        <w:keepNext/>
      </w:pPr>
      <w:r>
        <w:t>5 Mittelverwendung und Berichte</w:t>
      </w:r>
    </w:p>
    <w:p>
      <w:pPr>
        <w:pStyle w:val="Normal"/>
        <w:widowControl/>
      </w:pPr>
      <w:r>
        <w:t>Bei vollständiger Finanzierung sollen 3.500.000 EUR für Robotik und Sicherheit, 2.000.000 EUR für Zulassungen, Prüfungen und Versicherung, 2.000.000 EUR für Software und Datenorganisation, 1.500.000 EUR für Personal und Pilotstandorte und 1.000.000 EUR für Betriebskapital verwendet werden. Bis zur zweiten Tranche ist ein auf die tatsächlich verfügbaren Mittel begrenzter Plan maßgeblich.</w:t>
      </w:r>
    </w:p>
    <w:p>
      <w:pPr>
        <w:pStyle w:val="Normal"/>
        <w:widowControl/>
      </w:pPr>
      <w:r>
        <w:t>Die Geschäftsführung berichtet monatlich über Liquidität und Budgetabweichungen, quartalsweise über Entwicklung und wesentliche Verträge und unverzüglich über erhebliche Sicherheitsereignisse, Deckungslücken oder behördliche Maßnahmen. Das Reporting ersetzt gesetzliche Informationsrechte nicht. Freigaben werden nicht aus einer bloßen Kenntnisnahme des Berichts hergeleitet.</w:t>
      </w:r>
    </w:p>
    <w:p>
      <w:pPr>
        <w:pStyle w:val="Heading1"/>
        <w:widowControl/>
        <w:keepNext/>
      </w:pPr>
      <w:r>
        <w:t>6 Mitwirkung und Zustimmung</w:t>
      </w:r>
    </w:p>
    <w:p>
      <w:pPr>
        <w:pStyle w:val="Normal"/>
        <w:widowControl/>
      </w:pPr>
      <w:r>
        <w:t>Der Beirat soll genau fünf Sitze haben: zwei von den Gründern gemeinsam benannte Mitglieder, ein von ABC und DEF gemeinsam benanntes Mitglied sowie je ein Mitglied von GHI und JKL. Der Vorsitz wird innerhalb dieser fünf Sitze vergeben. Ein zusätzlicher unabhängiger Sitz setzt eine neue ausdrückliche Entscheidung über Mitgliederzahl und Mehrheiten voraus. Ottilie Trutz fordert die Teilnahme als nicht stimmberechtigter Gast bei Finanzierungsfragen; darüber ist noch zu entscheiden.</w:t>
      </w:r>
    </w:p>
    <w:p>
      <w:pPr>
        <w:pStyle w:val="Normal"/>
        <w:widowControl/>
      </w:pPr>
      <w:r>
        <w:t>Der Zustimmungskatalog soll wesentliche Budgetabweichungen über 15 Prozent einer Jahreskostenstelle, neue Finanzverbindlichkeiten über 250.000 EUR, Verfügungen über wesentliche Rechte, Änderungen des Geschäftsmodells, außergewöhnliche Geschäfte mit nahestehenden Personen und grundlegende Betriebsfreigaben erfassen. Das zuständige Organ und etwaige zusätzliche Klassenmehrheiten sind jeweils zu bestimmen. Die gesetzliche Verantwortung der Geschäftsführung wird dadurch nicht ersetzt.</w:t>
      </w:r>
    </w:p>
    <w:p>
      <w:pPr>
        <w:pStyle w:val="Normal"/>
        <w:widowControl/>
      </w:pPr>
      <w:r>
        <w:t>Die Beiratseinrichtung soll die operative Arbeit nicht durch Zustimmung zu jeder Rechnung verzögern. Bereits genehmigte laufende Verpflichtungen bleiben im genehmigten Umfang ausführbar. Für unmittelbar notwendige Schadensabwehr ist eine enge Notfallregel mit sofortiger Information vorgesehen.</w:t>
      </w:r>
    </w:p>
    <w:p>
      <w:pPr>
        <w:pStyle w:val="Heading1"/>
        <w:widowControl/>
        <w:keepNext/>
      </w:pPr>
      <w:r>
        <w:t>7 Veräußerung, Bindung und Ausscheiden</w:t>
      </w:r>
    </w:p>
    <w:p>
      <w:pPr>
        <w:pStyle w:val="Normal"/>
        <w:widowControl/>
      </w:pPr>
      <w:r>
        <w:t>Die Gründeranteile sollen grundsätzlich 48 Monate gebunden sein. Zulässige interne Übertragungen bedürfen nachweisbarer Kontrolle, Beitritt und Rückübertragungsregel. Vorerwerb, Mitverkauf bei Kontrollwechsel und ein Mitverkaufsverlangen ab 75 Prozent des Gesamtkapitals zuzüglich vereinbarter Serie-B-Mehrheit sind vorgesehen. Fristen, Klassenrechte, Gleichbehandlung und Haftungsgrenzen der Mitverkäufer werden im Vertrag vollständig ausgestaltet.</w:t>
      </w:r>
    </w:p>
    <w:p>
      <w:pPr>
        <w:pStyle w:val="Normal"/>
        <w:widowControl/>
      </w:pPr>
      <w:r>
        <w:t>Für einen ausdrücklich bezeichneten Teil der Gründeranteile wird eine zeitliche Freigabe über 48 Monate mit zwölf Monaten Cliff verhandelt. Ob Vorleistungen seit 2023 berücksichtigt werden und welche Anteile überhaupt gebunden werden, ist noch nicht vereinbart. Ein Verlust aller Anteile zum Nennwert bei beliebiger Abberufung ist nicht vereinbart. Ausscheidensgrund, Preis und Ausübungsverfahren werden getrennt festgelegt.</w:t>
      </w:r>
    </w:p>
    <w:p>
      <w:pPr>
        <w:pStyle w:val="Normal"/>
        <w:widowControl/>
      </w:pPr>
      <w:r>
        <w:t>Krankheit, Elternzeit, Tod, grundlose Abberufung und schwere schuldhafte Pflichtverletzung verlangen unterschiedliche Regelungen. Die konkrete Option wird vor Abschluss auf Form, sachliche Rechtfertigung und angemessene Preisbildung geprüft. Ein möglicher späterer Verkauf darf nicht durch eine gezielt vorgezogene Abberufung wirtschaftlich einseitig verlagert werden.</w:t>
      </w:r>
    </w:p>
    <w:p>
      <w:pPr>
        <w:pStyle w:val="Heading1"/>
        <w:widowControl/>
        <w:keepNext/>
      </w:pPr>
      <w:r>
        <w:t>8 Erlösvorrechte</w:t>
      </w:r>
    </w:p>
    <w:p>
      <w:pPr>
        <w:pStyle w:val="Normal"/>
        <w:widowControl/>
      </w:pPr>
      <w:r>
        <w:t>GHI verlangt einen nicht teilnehmenden Vorrang in Höhe des eineinhalbfachen tatsächlich gezahlten Ausgabebetrags. Bei vollständiger Einzahlung beträgt der Sockel 11.250.000 EUR, nach nur erster Tranche 6.750.000 EUR. JKL verlangt einen nicht teilnehmenden Vorrang in Höhe des tatsächlich gezahlten Ausgabebetrags, entsprechend 2.500.000 EUR beziehungsweise 1.500.000 EUR.</w:t>
      </w:r>
    </w:p>
    <w:p>
      <w:pPr>
        <w:pStyle w:val="Normal"/>
        <w:widowControl/>
      </w:pPr>
      <w:r>
        <w:t>ABC nennt eine Basis von 4.000.000 EUR mit einfachem nicht teilnehmendem Vorrang. DEF nennt 3.000.000 EUR mit teilnehmendem Vorrang und einer Gesamtauszahlungsgrenze von 6.000.000 EUR. Ottilie Trutz nennt 500.000 EUR mit einfachem nicht teilnehmendem Vorrang. Die historischen Beträge sind anhand der Zahlungs- und Beteiligungsunterlagen zu bestätigen. Für die Gründer ist kein eigener Präferenzsockel vorgesehen.</w:t>
      </w:r>
    </w:p>
    <w:p>
      <w:pPr>
        <w:pStyle w:val="Normal"/>
        <w:widowControl/>
      </w:pPr>
      <w:r>
        <w:t>Die Rangfolge der Klassen, Wahlberechtigung, eine etwaige Bindung von Minderheiten durch Klassenmehrheit und die Behandlung von Einbehalten und Earn-out sind noch offen. Ein nicht teilnehmender Vorrang und die volle Stammanteilsquote werden nicht gleichzeitig bezogen. Bei mehreren Wahlrechten müssen vollständige konsistente Szenarien gerechnet werden; die Summe isolierter Bestwerte ist keine vereinbarte Auszahlung.</w:t>
      </w:r>
    </w:p>
    <w:p>
      <w:pPr>
        <w:pStyle w:val="Normal"/>
        <w:widowControl/>
      </w:pPr>
      <w:r>
        <w:t>Bei einem Vermögensverkauf fließt der Erlös zunächst an die Gesellschaft. Steuern, Gläubigerbefriedigung und gesetzliche Ausschüttungsgrenzen gehen einer Verteilung an Gesellschafter voraus. Die Präferenzen begründen keine garantierte Rückzahlung unabhängig vom verfügbaren Vermögen.</w:t>
      </w:r>
    </w:p>
    <w:p>
      <w:pPr>
        <w:pStyle w:val="Heading1"/>
        <w:widowControl/>
        <w:keepNext/>
      </w:pPr>
      <w:r>
        <w:t>9 Verwässerung, Rechte und Tätigkeit</w:t>
      </w:r>
    </w:p>
    <w:p>
      <w:pPr>
        <w:pStyle w:val="Normal"/>
        <w:widowControl/>
      </w:pPr>
      <w:r>
        <w:t>Für eine spätere Finanzierung unter dem vereinbarten Preis soll ein breit gewichteter Durchschnitt verhandelt werden. Ein vollständiger Ratchet ist nicht vorgesehen. Berechnungsbasis, Ausnahmen, Mitarbeiterpool und rechtlich zulässige Umsetzung werden ausdrücklich festgelegt. Ein geänderter rechnerischer Preis erzeugt keine neuen GmbH-Anteile ohne die erforderlichen Maßnahmen.</w:t>
      </w:r>
    </w:p>
    <w:p>
      <w:pPr>
        <w:pStyle w:val="Normal"/>
        <w:widowControl/>
      </w:pPr>
      <w:r>
        <w:t>Vor dem ersten Vollzug wird das Rechteverzeichnis für Software, Konstruktion, Marke und Domains abgestimmt. Die Freelancer-Rechtekette und die Übertragbarkeit einzelner Komponenten sind nachzuweisen. Die Gesellschaft kann keine Rechte weitergeben, die ihr selbst nicht zustehen. Geschäftsführer- und Arbeitsverträge werden gesondert behandelt; eine Beteiligung ersetzt keinen Tätigkeitsvertrag.</w:t>
      </w:r>
    </w:p>
    <w:p>
      <w:pPr>
        <w:pStyle w:val="Heading2"/>
        <w:widowControl/>
        <w:keepNext/>
      </w:pPr>
      <w:r>
        <w:t>9.1 Bestehende Darlehen und offene Beteiligungsabrede</w:t>
      </w:r>
    </w:p>
    <w:p>
      <w:pPr>
        <w:pStyle w:val="Normal"/>
        <w:widowControl/>
      </w:pPr>
      <w:r>
        <w:t>Fridolin Fizzel hat am 1. Mai 2024 privat 120.000 EUR zu sechs Prozent Jahreszins ausgezahlt. Rückzahlung und Zinsen sind nach dem vorliegenden Darlehensschein am 31. März 2027 fällig. Das Dokument trägt den Ablagenamen Projektanleihe; es gibt keine ausgegebenen Inhaberpapiere. Der Gläubiger ist bislang nicht in der Gesellschafterliste enthalten. Die Vertragsformulierung zur nächsten Finanzierungsrunde, sein behaupteter zwanzigprozentiger Abschlag und die E-Mail aus März 2025 werden vor der neuen Runde miteinander abgeglichen. Die frühere Runde darf dabei nicht übergangen werden.</w:t>
      </w:r>
    </w:p>
    <w:p>
      <w:pPr>
        <w:pStyle w:val="Normal"/>
        <w:widowControl/>
      </w:pPr>
      <w:r>
        <w:t>Daneben bestehen seit 2. März 2026 vier Brückendarlehen: Kunigunde 60.000 EUR, Kilian 40.000 EUR, ABC 150.000 EUR und DEF 100.000 EUR. Sie werden mit fünf Prozent verzinst und sind vertraglich zum 31. Dezember 2026 fällig. Nur für ABC und DEF liegt die gesonderte Rang- und Durchsetzungsvereinbarung SF/RR/2026-02 vor. Sämtliche offenen Kapitalbeträge summieren sich vor Zinsen auf 470.000 EUR. Eine Rangabrede ist kein Erlass und wird nicht automatisch auf andere Darlehen erstreckt.</w:t>
      </w:r>
    </w:p>
    <w:p>
      <w:pPr>
        <w:pStyle w:val="Normal"/>
        <w:widowControl/>
      </w:pPr>
      <w:r>
        <w:t>Die derzeitige Kapitalrechnung für die neue Runde enthält keine Wandlung. Die Arbeitsmappe zeigt daneben eine ausdrücklich unverbindliche Variante für Fridolins Forderung. Ob Zinsen einbezogen werden, welcher Preis maßgeblich ist und ob überhaupt wirksam gewandelt werden kann, bleibt offen. Vor jeder Änderung sind Gläubigerzustimmung, Form, Forderungsbestand, Wert und zusätzliche Verwässerung zu klären. Eine Rückzahlung aus Investorengeldern wird nicht bereits durch dieses Term Sheet freigegeben.</w:t>
      </w:r>
    </w:p>
    <w:p>
      <w:pPr>
        <w:pStyle w:val="Heading2"/>
        <w:widowControl/>
        <w:keepNext/>
      </w:pPr>
      <w:r>
        <w:t>9.2 Unterlagen zum Frühjahr 2026</w:t>
      </w:r>
    </w:p>
    <w:p>
      <w:pPr>
        <w:pStyle w:val="Normal"/>
        <w:widowControl/>
      </w:pPr>
      <w:r>
        <w:t>Die Gesellschaft legt die Zahlungsenge im Februar, die Stundung der Spulenkranz-Rechnung, das Bankjournal und die Brückenverträge offen. Aus dem Ausschnitt eines Kontos wird keine Aussage über das Fehlen eines Insolvenzgrundes abgeleitet. Die Investoren sollen die tatsächlich vorhandenen vollständigen Unterlagen anfordern und deren Aussageumfang prüfen lassen. Eine neue Finanzierung ersetzt keine Prüfung früherer Vorgänge und keine wirksame Rechtebereinigung.</w:t>
      </w:r>
    </w:p>
    <w:p>
      <w:pPr>
        <w:pStyle w:val="Heading1"/>
        <w:widowControl/>
        <w:keepNext/>
      </w:pPr>
      <w:r>
        <w:t>10 Zeitplan</w:t>
      </w:r>
    </w:p>
    <w:p>
      <w:pPr>
        <w:pStyle w:val="Normal"/>
        <w:widowControl/>
      </w:pPr>
      <w:r>
        <w:t>Die Parteien streben eine Unterlagenprüfung innerhalb von sechzig Kalendertagen nach beiderseitig bestätigter vollständiger Bereitstellung an. Ein erster Vollzug innerhalb von neunzig Kalendertagen nach Unterzeichnung des verbindlichen Nebenabredenteils ist ein Planungsziel, keine Zusicherung behördlicher oder notarieller Termine. Die erforderlichen Vorstands-, Geschäftsführungs- oder Investitionsausschussfreigaben jedes Beteiligten sind zu benennen.</w:t>
      </w:r>
    </w:p>
    <w:p>
      <w:pPr>
        <w:pStyle w:val="Normal"/>
        <w:widowControl/>
      </w:pPr>
      <w:r>
        <w:t>Die vorgeschlagene Exklusivität beträgt 45 Kalendertage ab wirksamer Unterzeichnung durch die hierfür vorgesehenen Parteien. Ihre Verlängerung erfolgt nur ausdrücklich. Die Prüfung kann somit länger dauern als die Exklusivität. GHI hat eine Verlängerung auf sechzig Tage vorgeschlagen; die Gründer haben dem noch nicht zugestimmt.</w:t>
      </w:r>
    </w:p>
    <w:p>
      <w:pPr>
        <w:pStyle w:val="Heading1"/>
        <w:widowControl/>
        <w:keepNext/>
      </w:pPr>
      <w:r>
        <w:t>11 Noch zu vereinbarende Unterlagen</w:t>
      </w:r>
    </w:p>
    <w:p>
      <w:pPr>
        <w:pStyle w:val="Normal"/>
        <w:widowControl/>
      </w:pPr>
      <w:r>
        <w:t>Benötigt werden die endgültige Gesellschaftervereinbarung mit vollständigen Anlagen, erforderliche Satzungsänderungen, Kapitalbeschlüsse und Übernahmeerklärungen, die Meilensteinanlage, gegebenenfalls Rechte-Nachträge und eine abgestimmte Beiratsordnung. Die Anlage zum Erlös darf nicht auf eine unbeschriftete Tabelle beschränkt bleiben. Eine Unterschriftsfassung muss alle offenen Wahlfragen auflösen.</w:t>
      </w:r>
    </w:p>
    <w:p>
      <w:pPr>
        <w:pStyle w:val="Normal"/>
        <w:widowControl/>
      </w:pPr>
      <w:r>
        <w:t>Das Notariat soll frühzeitig prüfen, welche Nebenabreden mitbeurkundet werden müssen und welche Zustimmungen fehlen. Die Gesellschaft stellt die maßgeblichen Fassungen in einem geordneten Datenraum bereit. Eine Nachricht, eine Datei sei hochgeladen, gilt nicht als Freigabe ihres Inhalts.</w:t>
      </w:r>
    </w:p>
    <w:p>
      <w:pPr>
        <w:pStyle w:val="Heading1"/>
        <w:widowControl/>
        <w:keepNext/>
      </w:pPr>
      <w:r>
        <w:t>12 Vorgeschlagene verbindliche Nebenabreden</w:t>
      </w:r>
    </w:p>
    <w:p>
      <w:pPr>
        <w:pStyle w:val="Normal"/>
        <w:widowControl/>
      </w:pPr>
      <w:r>
        <w:t>Mit ordnungsgemäßer Unterzeichnung sollen ausschließlich Vertraulichkeit, Exklusivität, die ausdrücklich angenommene Kostenregel sowie die hierfür vereinbarte Rechts- und Zuständigkeitsregel bindend werden. Die Identität und Vertretung der unterzeichnenden Parteien ist zuvor zu bestätigen. Soweit die konkrete Verknüpfung mit formbedürftigen Verpflichtungen eine besondere Form verlangt, ist diese einzuhalten. Der unverbindliche Rest begründet keine Pflicht, die Beteiligung zu zeichnen oder den endgültigen Vertrag abzuschließen.</w:t>
      </w:r>
    </w:p>
    <w:p>
      <w:pPr>
        <w:pStyle w:val="Normal"/>
        <w:widowControl/>
      </w:pPr>
      <w:r>
        <w:t>Vertrauliche Informationen dürfen nur für die Prüfung der Transaktion an hierzu benötigte und angemessen gebundene Personen weitergegeben werden. Gesetzliche Offenlegungspflichten und zulässige Meldungen bleiben unberührt. Die Gesellschaft stellt keine personenbezogenen Kundendatensätze oder Ausweiskopien ohne konkrete Berechtigung in den allgemeinen Datenraum.</w:t>
      </w:r>
    </w:p>
    <w:p>
      <w:pPr>
        <w:pStyle w:val="Normal"/>
        <w:widowControl/>
      </w:pPr>
      <w:r>
        <w:t>Während der ausdrücklich vereinbarten Exklusivitätsdauer führt die Gesellschaft keine parallelen Verhandlungen über dieselbe Eigenkapitalrunde mit einem neu angesprochenen Investor. Gesetzlich gebotene Maßnahmen und die Abwendung einer konkreten Unternehmenskrise bleiben möglich; die neuen Investoren werden soweit rechtlich zulässig informiert. Nach Fristablauf lebt kein stillschweigendes Fortsetzungsverbot fort.</w:t>
      </w:r>
    </w:p>
    <w:p>
      <w:pPr>
        <w:pStyle w:val="Normal"/>
        <w:widowControl/>
      </w:pPr>
      <w:r>
        <w:t>Eine Erstattung externer Transaktionskosten durch die Gesellschaft wird auf nachgewiesene, angemessene und vorab bezeichnete Leistungen bis insgesamt 75.000 EUR zuzüglich gesetzlicher Umsatzsteuer begrenzt. Ob die Erstattung nur bei erstem Vollzug oder auch bei anderweitiger Beendigung gilt, ist vor Unterzeichnung durch Auswahl zu vereinbaren: [Kostenfolge bei Scheitern]. Ohne diese Auswahl wird keine zusätzliche Kostenpflicht für das Scheitern begründet. Eigene interne Aufwendungen trägt jeder Beteiligte selbst.</w:t>
      </w:r>
    </w:p>
    <w:p>
      <w:pPr>
        <w:pStyle w:val="Normal"/>
        <w:widowControl/>
      </w:pPr>
      <w:r>
        <w:t>Für die bindenden Nebenabreden gilt deutsches Recht unter Beachtung zwingender Vorschriften. Ein Gerichtsstand Berlin wird nur vereinbart, soweit eine solche Vereinbarung für die beteiligten Parteien und den konkreten Anspruch zulässig ist. Im Übrigen bleiben die gesetzlichen Zuständigkeiten bestehen. Keine Partei darf aus diesem Term Sheet bereits eine Genehmigung für den Produktbetrieb ableiten.</w:t>
      </w:r>
    </w:p>
    <w:p>
      <w:pPr>
        <w:pStyle w:val="Normal"/>
        <w:widowControl/>
      </w:pPr>
      <w:r>
        <w:t>[Ort und Datum] [Unterschriften und bestätigte Vertretung der gebundenen Parteien]</w:t>
      </w:r>
    </w:p>
    <w:sectPr w:rsidR="00FC693F" w:rsidRPr="0006063C" w:rsidSect="00034616">
      <w:headerReference w:type="default" r:id="rId9"/>
      <w:footerReference w:type="default" r:id="rId10"/>
      <w:pgSz w:w="12240" w:h="15840"/>
      <w:pgMar w:top="1191"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szCs w:val="22"/>
      </w:rPr>
      <w:t>SkyFade Robotics GmbH · Term Sheet · Vertraulich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s="Times New Roman" w:eastAsia="Times New Roman"/>
        <w:sz w:val="22"/>
        <w:szCs w:val="22"/>
      </w:rPr>
      <w:t>SKYFADE ROBOTICS  |  VERTRAULICH  |  DISKUSSIONSENTWURF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50" w:line="264" w:lineRule="auto"/>
    </w:pPr>
    <w:rPr>
      <w:rFonts w:ascii="Times New Roman" w:hAnsi="Times New Roman" w:cs="Times New Roman" w:eastAsia="Times New Roman"/>
      <w:sz w:val="22"/>
      <w:color w:val="000000"/>
    </w:rPr>
  </w:style>
  <w:style w:type="paragraph" w:styleId="Header">
    <w:name w:val="header"/>
    <w:basedOn w:val="Normal"/>
    <w:link w:val="HeaderChar"/>
    <w:uiPriority w:val="99"/>
    <w:unhideWhenUsed/>
    <w:rsid w:val="00E618BF"/>
    <w:pPr>
      <w:spacing w:after="150" w:line="264" w:lineRule="auto" w:before="180"/>
      <w:keepNext/>
    </w:pPr>
    <w:rPr>
      <w:rFonts w:ascii="Times New Roman" w:hAnsi="Times New Roman" w:cs="Times New Roman" w:eastAsia="Times New Roman"/>
      <w:sz w:val="22"/>
      <w:color w:val="000000"/>
      <w:b/>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150" w:line="264" w:lineRule="auto" w:before="180"/>
      <w:keepNext/>
    </w:pPr>
    <w:rPr>
      <w:rFonts w:ascii="Times New Roman" w:hAnsi="Times New Roman" w:cs="Times New Roman" w:eastAsia="Times New Roman"/>
      <w:sz w:val="22"/>
      <w:color w:val="000000"/>
      <w:b/>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outlineLvl w:val="0"/>
      <w:spacing w:after="150" w:line="264" w:lineRule="auto" w:before="180"/>
      <w:keepNext/>
    </w:pPr>
    <w:rPr>
      <w:rFonts w:ascii="Times New Roman" w:hAnsi="Times New Roman" w:cs="Times New Roman" w:eastAsia="Times New Roman"/>
      <w:sz w:val="22"/>
      <w:color w:val="000000"/>
      <w:b/>
    </w:rPr>
  </w:style>
  <w:style w:type="paragraph" w:styleId="Heading2">
    <w:name w:val="heading 2"/>
    <w:basedOn w:val="Normal"/>
    <w:next w:val="Normal"/>
    <w:link w:val="Heading2Char"/>
    <w:uiPriority w:val="9"/>
    <w:unhideWhenUsed/>
    <w:qFormat/>
    <w:rsid w:val="00FC693F"/>
    <w:pPr>
      <w:outlineLvl w:val="1"/>
      <w:spacing w:after="150" w:line="264" w:lineRule="auto" w:before="180"/>
      <w:keepNext/>
    </w:pPr>
    <w:rPr>
      <w:rFonts w:ascii="Times New Roman" w:hAnsi="Times New Roman" w:cs="Times New Roman" w:eastAsia="Times New Roman"/>
      <w:sz w:val="22"/>
      <w:color w:val="000000"/>
      <w:b/>
    </w:rPr>
  </w:style>
  <w:style w:type="paragraph" w:styleId="Heading3">
    <w:name w:val="heading 3"/>
    <w:basedOn w:val="Normal"/>
    <w:next w:val="Normal"/>
    <w:link w:val="Heading3Char"/>
    <w:uiPriority w:val="9"/>
    <w:unhideWhenUsed/>
    <w:qFormat/>
    <w:rsid w:val="00FC693F"/>
    <w:pPr>
      <w:outlineLvl w:val="2"/>
      <w:spacing w:after="150" w:line="264" w:lineRule="auto" w:before="180"/>
      <w:keepNext/>
    </w:pPr>
    <w:rPr>
      <w:rFonts w:ascii="Times New Roman" w:hAnsi="Times New Roman" w:cs="Times New Roman" w:eastAsia="Times New Roman"/>
      <w:sz w:val="22"/>
      <w:color w:val="000000"/>
      <w: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50" w:line="264" w:lineRule="auto" w:before="180"/>
      <w:keepNext/>
    </w:pPr>
    <w:rPr>
      <w:rFonts w:ascii="Times New Roman" w:hAnsi="Times New Roman" w:cs="Times New Roman" w:eastAsia="Times New Roman"/>
      <w:sz w:val="22"/>
      <w:color w:val="000000"/>
      <w: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
  <cp:lastModifiedBy>Klotzkette</cp:lastModifiedBy>
  <cp:revision>1</cp:revision>
  <dcterms:created xsi:type="dcterms:W3CDTF">2013-12-23T23:15:00Z</dcterms:created>
  <dcterms:modified xsi:type="dcterms:W3CDTF">2013-12-23T23:15:00Z</dcterms:modified>
  <cp:category/>
</cp:coreProperties>
</file>